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Chemist</w:t>
      </w:r>
      <w:r>
        <w:t xml:space="preserve"> </w:t>
      </w:r>
      <w:r>
        <w:t xml:space="preserve">Pharmacy</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3e312a97b879f06803dfa0b0c460e4adc9f2c4"/>
    <w:p>
      <w:pPr>
        <w:pStyle w:val="Heading1"/>
      </w:pPr>
      <w:r>
        <w:t xml:space="preserve">ANNUAL SALES REPORT FOR CHEMIST PHARMACY - UNITED STATES LOS ANGELES</w:t>
      </w:r>
    </w:p>
    <w:bookmarkStart w:id="20" w:name="executive-summary-performance-overview"/>
    <w:p>
      <w:pPr>
        <w:pStyle w:val="Heading2"/>
      </w:pPr>
      <w:r>
        <w:t xml:space="preserve">Executive Summary: Performance Overview</w:t>
      </w:r>
    </w:p>
    <w:p>
      <w:pPr>
        <w:pStyle w:val="FirstParagraph"/>
      </w:pPr>
      <w:r>
        <w:t xml:space="preserve">This comprehensive Sales Report details the operational and financial performance of Chemist Pharmacy across all United States Los Angeles locations for the fiscal year 2023. Serving as a cornerstone provider of pharmaceutical, wellness, and health solutions in Southern California's most populous metropolitan area, our Chemist pharmacy network achieved remarkable growth despite industry challenges. The United States Los Angeles market demonstrated exceptional resilience with a 14.7% year-over-year increase in total sales volume, reaching $28.6 million compared to $24.9 million in the previous fiscal period.</w:t>
      </w:r>
    </w:p>
    <w:p>
      <w:pPr>
        <w:pStyle w:val="BodyText"/>
      </w:pPr>
      <w:r>
        <w:rPr>
          <w:bCs/>
          <w:b/>
        </w:rPr>
        <w:t xml:space="preserve">Key Achievement:</w:t>
      </w:r>
      <w:r>
        <w:t xml:space="preserve"> </w:t>
      </w:r>
      <w:r>
        <w:t xml:space="preserve">Chemist Pharmacy became the top-performing independent pharmacy chain in Los Angeles County for over-the-counter wellness products, capturing 18.3% market share through strategic product positioning and community engagement initiatives.</w:t>
      </w:r>
    </w:p>
    <w:p>
      <w:pPr>
        <w:pStyle w:val="BodyText"/>
      </w:pPr>
      <w:r>
        <w:t xml:space="preserve">The Sales Report underscores how our commitment to personalized patient care within United States Los Angeles communities directly translates into sustained business growth. This document serves as both a performance benchmark and strategic roadmap for the Chemist brand's future expansion across California's most diverse urban market.</w:t>
      </w:r>
    </w:p>
    <w:bookmarkEnd w:id="20"/>
    <w:bookmarkStart w:id="21" w:name="X349bcda55cae6dad4066066101d234cb3935cc5"/>
    <w:p>
      <w:pPr>
        <w:pStyle w:val="Heading2"/>
      </w:pPr>
      <w:r>
        <w:t xml:space="preserve">Sales Performance Breakdown: Category Analysis</w:t>
      </w:r>
    </w:p>
    <w:p>
      <w:pPr>
        <w:pStyle w:val="FirstParagraph"/>
      </w:pPr>
      <w:r>
        <w:t xml:space="preserve">Analysis of product categories reveals significant shifts in consumer health trends specific to United States Los Angeles demographics. The following table presents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2023 Revenue</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Prescription Medications (Branded &amp; Generic)</w:t>
            </w:r>
          </w:p>
        </w:tc>
        <w:tc>
          <w:tcPr/>
          <w:p>
            <w:pPr>
              <w:pStyle w:val="Compact"/>
              <w:jc w:val="left"/>
            </w:pPr>
            <w:r>
              <w:t xml:space="preserve">$15,820,000</w:t>
            </w:r>
          </w:p>
        </w:tc>
        <w:tc>
          <w:tcPr/>
          <w:p>
            <w:pPr>
              <w:pStyle w:val="Compact"/>
              <w:jc w:val="left"/>
            </w:pPr>
            <w:r>
              <w:t xml:space="preserve">55.3%</w:t>
            </w:r>
          </w:p>
        </w:tc>
        <w:tc>
          <w:tcPr/>
          <w:p>
            <w:pPr>
              <w:pStyle w:val="Compact"/>
              <w:jc w:val="left"/>
            </w:pPr>
            <w:r>
              <w:t xml:space="preserve">+9.2%</w:t>
            </w:r>
          </w:p>
        </w:tc>
      </w:tr>
      <w:tr>
        <w:tc>
          <w:tcPr/>
          <w:p>
            <w:pPr>
              <w:pStyle w:val="Compact"/>
              <w:jc w:val="left"/>
            </w:pPr>
            <w:r>
              <w:t xml:space="preserve">Over-the-Counter Wellness Products</w:t>
            </w:r>
          </w:p>
        </w:tc>
        <w:tc>
          <w:tcPr/>
          <w:p>
            <w:pPr>
              <w:pStyle w:val="Compact"/>
              <w:jc w:val="left"/>
            </w:pPr>
            <w:r>
              <w:t xml:space="preserve">$7,460,000</w:t>
            </w:r>
          </w:p>
        </w:tc>
        <w:tc>
          <w:tcPr/>
          <w:p>
            <w:pPr>
              <w:pStyle w:val="Compact"/>
              <w:jc w:val="left"/>
            </w:pPr>
            <w:r>
              <w:t xml:space="preserve">26.1%</w:t>
            </w:r>
          </w:p>
        </w:tc>
        <w:tc>
          <w:tcPr/>
          <w:p>
            <w:pPr>
              <w:pStyle w:val="Compact"/>
              <w:jc w:val="left"/>
            </w:pPr>
            <w:r>
              <w:t xml:space="preserve">+23.8% *</w:t>
            </w:r>
          </w:p>
        </w:tc>
      </w:tr>
      <w:tr>
        <w:tc>
          <w:tcPr/>
          <w:p>
            <w:pPr>
              <w:pStyle w:val="Compact"/>
              <w:jc w:val="left"/>
            </w:pPr>
            <w:r>
              <w:t xml:space="preserve">Personal Care &amp; Cosmetics</w:t>
            </w:r>
          </w:p>
        </w:tc>
        <w:tc>
          <w:tcPr/>
          <w:p>
            <w:pPr>
              <w:pStyle w:val="Compact"/>
              <w:jc w:val="left"/>
            </w:pPr>
            <w:r>
              <w:t xml:space="preserve">$3,185,000</w:t>
            </w:r>
          </w:p>
        </w:tc>
        <w:tc>
          <w:tcPr/>
          <w:p>
            <w:pPr>
              <w:pStyle w:val="Compact"/>
              <w:jc w:val="left"/>
            </w:pPr>
            <w:r>
              <w:t xml:space="preserve">11.1%</w:t>
            </w:r>
          </w:p>
        </w:tc>
        <w:tc>
          <w:tcPr/>
          <w:p>
            <w:pPr>
              <w:pStyle w:val="Compact"/>
              <w:jc w:val="left"/>
            </w:pPr>
            <w:r>
              <w:t xml:space="preserve">+7.4%</w:t>
            </w:r>
          </w:p>
        </w:tc>
      </w:tr>
      <w:tr>
        <w:tc>
          <w:tcPr/>
          <w:p>
            <w:pPr>
              <w:pStyle w:val="Compact"/>
              <w:jc w:val="left"/>
            </w:pPr>
            <w:r>
              <w:t xml:space="preserve">Health &amp; Fitness Supplements</w:t>
            </w:r>
          </w:p>
        </w:tc>
        <w:tc>
          <w:tcPr/>
          <w:p>
            <w:pPr>
              <w:pStyle w:val="Compact"/>
              <w:jc w:val="left"/>
            </w:pPr>
            <w:r>
              <w:t xml:space="preserve">$2,135,000</w:t>
            </w:r>
          </w:p>
        </w:tc>
        <w:tc>
          <w:tcPr/>
          <w:p>
            <w:pPr>
              <w:pStyle w:val="Compact"/>
              <w:jc w:val="left"/>
            </w:pPr>
            <w:r>
              <w:t xml:space="preserve">7.5%</w:t>
            </w:r>
          </w:p>
        </w:tc>
        <w:tc>
          <w:tcPr/>
          <w:p>
            <w:pPr>
              <w:pStyle w:val="Compact"/>
              <w:jc w:val="left"/>
            </w:pPr>
            <w:r>
              <w:t xml:space="preserve">+32.6% **</w:t>
            </w:r>
          </w:p>
        </w:tc>
      </w:tr>
    </w:tbl>
    <w:p>
      <w:pPr>
        <w:pStyle w:val="BodyText"/>
      </w:pPr>
      <w:r>
        <w:t xml:space="preserve">*Driven by increased demand for immunity support products following LA's 2023 respiratory season peak</w:t>
      </w:r>
      <w:r>
        <w:br/>
      </w:r>
      <w:r>
        <w:t xml:space="preserve">**Particularly strong growth in plant-based supplements targeting Los Angeles' health-conscious demographics</w:t>
      </w:r>
    </w:p>
    <w:p>
      <w:pPr>
        <w:pStyle w:val="BodyText"/>
      </w:pPr>
      <w:r>
        <w:t xml:space="preserve">The Sales Report indicates that wellness product performance in United States Los Angeles significantly outpaced national averages, with a 3.8x higher growth rate than the pharmacy industry benchmark. This trend directly supports our strategic investment in the Chemist Wellness Hub program.</w:t>
      </w:r>
    </w:p>
    <w:bookmarkEnd w:id="21"/>
    <w:bookmarkStart w:id="22" w:name="Xdf99ba857e176b997976f09feef367417d2984b"/>
    <w:p>
      <w:pPr>
        <w:pStyle w:val="Heading2"/>
      </w:pPr>
      <w:r>
        <w:t xml:space="preserve">Market Analysis: United States Los Angeles Context</w:t>
      </w:r>
    </w:p>
    <w:p>
      <w:pPr>
        <w:pStyle w:val="FirstParagraph"/>
      </w:pPr>
      <w:r>
        <w:t xml:space="preserve">The competitive landscape of United States Los Angeles presents both challenges and opportunities for Chemist Pharmacy. With over 1,800 retail pharmacies operating in the LA metro area, differentiation through community integration has become our key competitive advantage. This Sales Report reveals how we've successfully adapted to Los Angeles-specific market dynamics:</w:t>
      </w:r>
    </w:p>
    <w:p>
      <w:pPr>
        <w:numPr>
          <w:ilvl w:val="0"/>
          <w:numId w:val="1001"/>
        </w:numPr>
        <w:pStyle w:val="Compact"/>
      </w:pPr>
      <w:r>
        <w:rPr>
          <w:bCs/>
          <w:b/>
        </w:rPr>
        <w:t xml:space="preserve">Demographic Alignment:</w:t>
      </w:r>
      <w:r>
        <w:t xml:space="preserve"> </w:t>
      </w:r>
      <w:r>
        <w:t xml:space="preserve">62% of our sales growth came from neighborhoods with high Hispanic and Asian-American populations, where we've implemented culturally tailored health education programs developed in partnership with local community health centers.</w:t>
      </w:r>
    </w:p>
    <w:p>
      <w:pPr>
        <w:numPr>
          <w:ilvl w:val="0"/>
          <w:numId w:val="1001"/>
        </w:numPr>
        <w:pStyle w:val="Compact"/>
      </w:pPr>
      <w:r>
        <w:rPr>
          <w:bCs/>
          <w:b/>
        </w:rPr>
        <w:t xml:space="preserve">Seasonal Adaptation:</w:t>
      </w:r>
      <w:r>
        <w:t xml:space="preserve"> </w:t>
      </w:r>
      <w:r>
        <w:t xml:space="preserve">Our inventory management for United States Los Angeles weather patterns shows 37% higher sales of heat-relief products during summer months compared to national averages, reflecting localized demand patterns.</w:t>
      </w:r>
    </w:p>
    <w:p>
      <w:pPr>
        <w:numPr>
          <w:ilvl w:val="0"/>
          <w:numId w:val="1001"/>
        </w:numPr>
        <w:pStyle w:val="Compact"/>
      </w:pPr>
      <w:r>
        <w:rPr>
          <w:bCs/>
          <w:b/>
        </w:rPr>
        <w:t xml:space="preserve">Telehealth Integration:</w:t>
      </w:r>
      <w:r>
        <w:t xml:space="preserve"> </w:t>
      </w:r>
      <w:r>
        <w:t xml:space="preserve">The adoption of our virtual consultations increased by 210% in LA locations, directly contributing to a 17% rise in prescription refills – a critical metric for pharmacy sustainability.</w:t>
      </w:r>
    </w:p>
    <w:p>
      <w:pPr>
        <w:pStyle w:val="FirstParagraph"/>
      </w:pPr>
      <w:r>
        <w:t xml:space="preserve">The United States Los Angeles market continues to demonstrate premium pricing resilience for specialty pharmaceuticals, with our Chemist Pharmacy locations maintaining an average 8.3% price premium over chain competitors while seeing 12.6% higher patient retention rates.</w:t>
      </w:r>
    </w:p>
    <w:bookmarkEnd w:id="22"/>
    <w:bookmarkStart w:id="23" w:name="X8a475f153ba26c62285ee5c19aef74b54bb756b"/>
    <w:p>
      <w:pPr>
        <w:pStyle w:val="Heading2"/>
      </w:pPr>
      <w:r>
        <w:t xml:space="preserve">Operational Excellence in United States Los Angeles</w:t>
      </w:r>
    </w:p>
    <w:p>
      <w:pPr>
        <w:pStyle w:val="FirstParagraph"/>
      </w:pPr>
      <w:r>
        <w:t xml:space="preserve">Our commitment to operational excellence has positioned Chemist as a model for pharmacy management in the United States Los Angeles market. Key initiatives highlighted in this Sales Report include:</w:t>
      </w:r>
    </w:p>
    <w:p>
      <w:pPr>
        <w:numPr>
          <w:ilvl w:val="0"/>
          <w:numId w:val="1002"/>
        </w:numPr>
        <w:pStyle w:val="Compact"/>
      </w:pPr>
      <w:r>
        <w:rPr>
          <w:bCs/>
          <w:b/>
        </w:rPr>
        <w:t xml:space="preserve">Pharmacy Technology Integration:</w:t>
      </w:r>
      <w:r>
        <w:t xml:space="preserve"> </w:t>
      </w:r>
      <w:r>
        <w:t xml:space="preserve">Implementation of AI-powered inventory systems reduced prescription wait times by 42% across all LA locations, directly improving patient satisfaction scores to 4.8/5.</w:t>
      </w:r>
    </w:p>
    <w:p>
      <w:pPr>
        <w:numPr>
          <w:ilvl w:val="0"/>
          <w:numId w:val="1002"/>
        </w:numPr>
        <w:pStyle w:val="Compact"/>
      </w:pPr>
      <w:r>
        <w:rPr>
          <w:bCs/>
          <w:b/>
        </w:rPr>
        <w:t xml:space="preserve">Community Health Partnerships:</w:t>
      </w:r>
      <w:r>
        <w:t xml:space="preserve"> </w:t>
      </w:r>
      <w:r>
        <w:t xml:space="preserve">Collaborations with LA County Health Services and community clinics resulted in 15,700 free health screenings conducted at Chemist locations in 2023, driving new customer acquisition.</w:t>
      </w:r>
    </w:p>
    <w:p>
      <w:pPr>
        <w:numPr>
          <w:ilvl w:val="0"/>
          <w:numId w:val="1002"/>
        </w:numPr>
        <w:pStyle w:val="Compact"/>
      </w:pPr>
      <w:r>
        <w:rPr>
          <w:bCs/>
          <w:b/>
        </w:rPr>
        <w:t xml:space="preserve">Employee Development:</w:t>
      </w:r>
      <w:r>
        <w:t xml:space="preserve"> </w:t>
      </w:r>
      <w:r>
        <w:t xml:space="preserve">The Chemist Leadership Academy program trained 47 pharmacists and technicians from diverse Los Angeles neighborhoods, directly contributing to our top 15% industry ranking in employee retention.</w:t>
      </w:r>
    </w:p>
    <w:p>
      <w:pPr>
        <w:pStyle w:val="FirstParagraph"/>
      </w:pPr>
      <w:r>
        <w:t xml:space="preserve">This Sales Report confirms that community-centric operations are the driving force behind our performance differential in United States Los Angeles compared to national pharmacy chains.</w:t>
      </w:r>
    </w:p>
    <w:bookmarkEnd w:id="23"/>
    <w:bookmarkStart w:id="24" w:name="challenges-and-strategic-opportunities"/>
    <w:p>
      <w:pPr>
        <w:pStyle w:val="Heading2"/>
      </w:pPr>
      <w:r>
        <w:t xml:space="preserve">Challenges and Strategic Opportunities</w:t>
      </w:r>
    </w:p>
    <w:p>
      <w:pPr>
        <w:pStyle w:val="FirstParagraph"/>
      </w:pPr>
      <w:r>
        <w:t xml:space="preserve">While the 2023 performance was strong, this Sales Report identifies critical challenges specific to operating as a Chemist in United States Los Angeles:</w:t>
      </w:r>
    </w:p>
    <w:p>
      <w:pPr>
        <w:numPr>
          <w:ilvl w:val="0"/>
          <w:numId w:val="1003"/>
        </w:numPr>
        <w:pStyle w:val="Compact"/>
      </w:pPr>
      <w:r>
        <w:rPr>
          <w:bCs/>
          <w:b/>
        </w:rPr>
        <w:t xml:space="preserve">Rising Supply Chain Costs:</w:t>
      </w:r>
      <w:r>
        <w:t xml:space="preserve"> </w:t>
      </w:r>
      <w:r>
        <w:t xml:space="preserve">Pharmaceutical shipping expenses increased 18.7% due to LA port congestion, impacting our gross margins by 3.2 percentage points.</w:t>
      </w:r>
    </w:p>
    <w:p>
      <w:pPr>
        <w:numPr>
          <w:ilvl w:val="0"/>
          <w:numId w:val="1003"/>
        </w:numPr>
        <w:pStyle w:val="Compact"/>
      </w:pPr>
      <w:r>
        <w:rPr>
          <w:bCs/>
          <w:b/>
        </w:rPr>
        <w:t xml:space="preserve">Regulatory Pressures:</w:t>
      </w:r>
      <w:r>
        <w:t xml:space="preserve"> </w:t>
      </w:r>
      <w:r>
        <w:t xml:space="preserve">New California SB-404 implementation required $215,000 in technology upgrades for all Los Angeles locations to comply with prescription monitoring protocols.</w:t>
      </w:r>
    </w:p>
    <w:p>
      <w:pPr>
        <w:pStyle w:val="FirstParagraph"/>
      </w:pPr>
      <w:r>
        <w:t xml:space="preserve">Addressing these challenges creates significant opportunities. The Sales Report recommends:</w:t>
      </w:r>
    </w:p>
    <w:p>
      <w:pPr>
        <w:numPr>
          <w:ilvl w:val="0"/>
          <w:numId w:val="1004"/>
        </w:numPr>
        <w:pStyle w:val="Compact"/>
      </w:pPr>
      <w:r>
        <w:t xml:space="preserve">Establishing a regional distribution hub in Long Beach to reduce LA-specific shipping costs by 28% through strategic location planning</w:t>
      </w:r>
    </w:p>
    <w:p>
      <w:pPr>
        <w:numPr>
          <w:ilvl w:val="0"/>
          <w:numId w:val="1004"/>
        </w:numPr>
        <w:pStyle w:val="Compact"/>
      </w:pPr>
      <w:r>
        <w:t xml:space="preserve">Developing specialized telehealth services for chronic disease management targeting LA's high diabetes prevalence (14.3% of population)</w:t>
      </w:r>
    </w:p>
    <w:p>
      <w:pPr>
        <w:numPr>
          <w:ilvl w:val="0"/>
          <w:numId w:val="1004"/>
        </w:numPr>
        <w:pStyle w:val="Compact"/>
      </w:pPr>
      <w:r>
        <w:t xml:space="preserve">Creating a "Chemist Wellness Ambassador" program recruiting community leaders to drive health literacy initiatives in underserved Los Angeles neighborhoods</w:t>
      </w:r>
    </w:p>
    <w:bookmarkEnd w:id="24"/>
    <w:bookmarkStart w:id="25" w:name="X8f7a757f932b9f8efe67c7c441eeb4c8236d4c5"/>
    <w:p>
      <w:pPr>
        <w:pStyle w:val="Heading2"/>
      </w:pPr>
      <w:r>
        <w:t xml:space="preserve">Conclusion: The Future of Chemist Pharmacy in United States Los Angeles</w:t>
      </w:r>
    </w:p>
    <w:p>
      <w:pPr>
        <w:pStyle w:val="FirstParagraph"/>
      </w:pPr>
      <w:r>
        <w:t xml:space="preserve">The data presented in this Annual Sales Report confirms that Chemist Pharmacy has successfully established itself as a community health partner rather than merely a retail pharmacy within the United States Los Angeles market. Our 14.7% revenue growth outpaces both the national pharmacy industry average (5.2%) and local competitors by nearly 9 percentage points.</w:t>
      </w:r>
    </w:p>
    <w:p>
      <w:pPr>
        <w:pStyle w:val="BodyText"/>
      </w:pPr>
      <w:r>
        <w:t xml:space="preserve">Crucially, this Sales Report demonstrates that our strategy of embedding Chemist locations into neighborhood health ecosystems has created sustainable competitive advantage. As Los Angeles continues to grow as America's most diverse metropolitan area, our community-focused model positions us for continued leadership in the United States Los Angeles healthcare landscape.</w:t>
      </w:r>
    </w:p>
    <w:p>
      <w:pPr>
        <w:pStyle w:val="BodyText"/>
      </w:pPr>
      <w:r>
        <w:t xml:space="preserve">The future success of Chemist Pharmacy hinges on deepening our integration within United States Los Angeles communities while maintaining pharmaceutical excellence. Our 2024 strategic plan focuses on expanding wellness services to reach 35% more households across LA County through targeted neighborhood health initiatives – a direct extension of the community-centric approach validated by this Sales Report.</w:t>
      </w:r>
    </w:p>
    <w:p>
      <w:pPr>
        <w:pStyle w:val="BodyText"/>
      </w:pPr>
      <w:r>
        <w:t xml:space="preserve">As we move forward, the Chemist brand will continue to be synonymous with personalized, community-based healthcare excellence in United States Los Angeles. This Sales Report serves as both a testament to our current achievements and a strategic compass for our continued growth in Southern California's most dynamic market.</w:t>
      </w:r>
    </w:p>
    <w:bookmarkEnd w:id="25"/>
    <w:p>
      <w:pPr>
        <w:pStyle w:val="BodyText"/>
      </w:pPr>
      <w:r>
        <w:t xml:space="preserve">Chemist Pharmacy | 123 Main Street, Los Angeles, CA 90012 | Annual Sales Report: Fiscal Year 2023</w:t>
      </w:r>
    </w:p>
    <w:p>
      <w:pPr>
        <w:pStyle w:val="BodyText"/>
      </w:pPr>
      <w:r>
        <w:t xml:space="preserve">This document is exclusively for internal use by Chemist Pharmacy management and stakeholders. All data certified by the United States Los Angeles Operations Analytics Team.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Chemist Pharmacy - United States Los Angeles</dc:title>
  <dc:creator/>
  <dc:language>en</dc:language>
  <cp:keywords/>
  <dcterms:created xsi:type="dcterms:W3CDTF">2025-12-11T16:19:22Z</dcterms:created>
  <dcterms:modified xsi:type="dcterms:W3CDTF">2025-12-11T16:19:22Z</dcterms:modified>
</cp:coreProperties>
</file>

<file path=docProps/custom.xml><?xml version="1.0" encoding="utf-8"?>
<Properties xmlns="http://schemas.openxmlformats.org/officeDocument/2006/custom-properties" xmlns:vt="http://schemas.openxmlformats.org/officeDocument/2006/docPropsVTypes"/>
</file>