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Florida</w:t>
      </w:r>
      <w:r>
        <w:t xml:space="preserve"> </w:t>
      </w:r>
      <w:r>
        <w:t xml:space="preserve">Chemist</w:t>
      </w:r>
      <w:r>
        <w:t xml:space="preserve"> </w:t>
      </w:r>
      <w:r>
        <w:t xml:space="preserve">Sales</w:t>
      </w:r>
      <w:r>
        <w:t xml:space="preserve"> </w:t>
      </w:r>
      <w:r>
        <w:t xml:space="preserve">Performance</w:t>
      </w:r>
      <w:r>
        <w:t xml:space="preserve"> </w:t>
      </w:r>
      <w:r>
        <w:t xml:space="preserve">Report:</w:t>
      </w:r>
      <w:r>
        <w:t xml:space="preserve"> </w:t>
      </w:r>
      <w:r>
        <w:t xml:space="preserve">Miami</w:t>
      </w:r>
      <w:r>
        <w:t xml:space="preserve"> </w:t>
      </w:r>
      <w:r>
        <w:t xml:space="preserve">Market</w:t>
      </w:r>
      <w:r>
        <w:t xml:space="preserve"> </w:t>
      </w:r>
      <w:r>
        <w:t xml:space="preserve">Analysis</w:t>
      </w:r>
    </w:p>
    <w:bookmarkStart w:id="27" w:name="X4c99fb2f58e789fd92c5f49407451918309546b"/>
    <w:p>
      <w:pPr>
        <w:pStyle w:val="Heading1"/>
      </w:pPr>
      <w:r>
        <w:t xml:space="preserve">Quarterly Sales Performance Report: Miami Area Pharmacies (United States)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Miami Regional Operations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The Miami-based Chemist network demonstrated resilient performance during Q3 2023, achieving a total sales volume of $4.8M across all United States Miami locations—a 7.5% increase from Q2 and surpassing regional targets by 4%. This growth was driven by strategic expansion of specialty pharmaceuticals, enhanced telehealth integration, and targeted community outreach initiatives tailored to South Florida's unique demographic profile. The Sales Report confirms that our Miami Chemist operations remain a high-performing asset within the national portfolio, outperforming the U.S. pharmacy sector average by 2.3 percentage points.</w:t>
      </w:r>
    </w:p>
    <w:bookmarkEnd w:id="20"/>
    <w:bookmarkStart w:id="21" w:name="ii.-sales-performance-overview"/>
    <w:p>
      <w:pPr>
        <w:pStyle w:val="Heading2"/>
      </w:pPr>
      <w:r>
        <w:t xml:space="preserve">II. Sales Performance Overview</w:t>
      </w:r>
    </w:p>
    <w:p>
      <w:pPr>
        <w:pStyle w:val="FirstParagraph"/>
      </w:pPr>
      <w:r>
        <w:t xml:space="preserve">Quarterly sales across all United States Miami Chemist locations showed consistent upward trajectory, with specialty medications contributing 38% of total revenue (up from 31% in Q2). The top-performing product categories included:</w:t>
      </w:r>
    </w:p>
    <w:p>
      <w:pPr>
        <w:numPr>
          <w:ilvl w:val="0"/>
          <w:numId w:val="1001"/>
        </w:numPr>
        <w:pStyle w:val="Compact"/>
      </w:pPr>
      <w:r>
        <w:rPr>
          <w:bCs/>
          <w:b/>
        </w:rPr>
        <w:t xml:space="preserve">Chronic Disease Management:</w:t>
      </w:r>
      <w:r>
        <w:t xml:space="preserve"> </w:t>
      </w:r>
      <w:r>
        <w:t xml:space="preserve">42% growth in diabetes and hypertension therapeutics due to Miami's aging population (28.7% of residents aged 65+)</w:t>
      </w:r>
    </w:p>
    <w:p>
      <w:pPr>
        <w:numPr>
          <w:ilvl w:val="0"/>
          <w:numId w:val="1001"/>
        </w:numPr>
        <w:pStyle w:val="Compact"/>
      </w:pPr>
      <w:r>
        <w:rPr>
          <w:bCs/>
          <w:b/>
        </w:rPr>
        <w:t xml:space="preserve">Over-the-Counter (OTC) Wellness Products:</w:t>
      </w:r>
      <w:r>
        <w:t xml:space="preserve"> </w:t>
      </w:r>
      <w:r>
        <w:t xml:space="preserve">29% surge driven by tourism season and sun-safety demand</w:t>
      </w:r>
    </w:p>
    <w:p>
      <w:pPr>
        <w:numPr>
          <w:ilvl w:val="0"/>
          <w:numId w:val="1001"/>
        </w:numPr>
        <w:pStyle w:val="Compact"/>
      </w:pPr>
      <w:r>
        <w:rPr>
          <w:bCs/>
          <w:b/>
        </w:rPr>
        <w:t xml:space="preserve">Vaccinations:</w:t>
      </w:r>
      <w:r>
        <w:t xml:space="preserve"> </w:t>
      </w:r>
      <w:r>
        <w:t xml:space="preserve">150% increase in flu shots following CDC advisories, positioning Miami Chemist as a community health hub</w:t>
      </w:r>
    </w:p>
    <w:p>
      <w:pPr>
        <w:pStyle w:val="FirstParagraph"/>
      </w:pPr>
      <w:r>
        <w:t xml:space="preserve">The average transaction value rose to $58.20 (from $53.40 Q2), reflecting successful upselling of premium OTC lines and prescription adherence programs. Notably, the Coral Gables Chemist location achieved a record-breaking $1.2M in sales—exceeding all other U.S. Miami stores by 19% due to its proximity to senior living communities.</w:t>
      </w:r>
    </w:p>
    <w:bookmarkEnd w:id="21"/>
    <w:bookmarkStart w:id="22" w:name="X7f5a249d3581eb7789e4d2ccea7c5c51ef0303e"/>
    <w:p>
      <w:pPr>
        <w:pStyle w:val="Heading2"/>
      </w:pPr>
      <w:r>
        <w:t xml:space="preserve">III. Miami Market Dynamics &amp; Competitive Positioning</w:t>
      </w:r>
    </w:p>
    <w:p>
      <w:pPr>
        <w:pStyle w:val="FirstParagraph"/>
      </w:pPr>
      <w:r>
        <w:t xml:space="preserve">The United States Miami pharmaceutical market is characterized by intense competition but significant growth opportunities:</w:t>
      </w:r>
    </w:p>
    <w:p>
      <w:pPr>
        <w:numPr>
          <w:ilvl w:val="0"/>
          <w:numId w:val="1002"/>
        </w:numPr>
        <w:pStyle w:val="Compact"/>
      </w:pPr>
      <w:r>
        <w:rPr>
          <w:bCs/>
          <w:b/>
        </w:rPr>
        <w:t xml:space="preserve">Demographic Advantage:</w:t>
      </w:r>
      <w:r>
        <w:t xml:space="preserve"> </w:t>
      </w:r>
      <w:r>
        <w:t xml:space="preserve">As America's most diverse metropolitan area (40% Hispanic, 18% Black, 12% White), our Miami Chemist locations successfully implemented multilingual service protocols (Spanish/English/Cuban Creole), capturing 34% market share among non-English speaking patients</w:t>
      </w:r>
    </w:p>
    <w:p>
      <w:pPr>
        <w:numPr>
          <w:ilvl w:val="0"/>
          <w:numId w:val="1002"/>
        </w:numPr>
        <w:pStyle w:val="Compact"/>
      </w:pPr>
      <w:r>
        <w:rPr>
          <w:bCs/>
          <w:b/>
        </w:rPr>
        <w:t xml:space="preserve">Tourism Impact:</w:t>
      </w:r>
      <w:r>
        <w:t xml:space="preserve"> </w:t>
      </w:r>
      <w:r>
        <w:t xml:space="preserve">Visitor influx during Q3 generated $680K in emergency medication sales—up 47% YoY—with pharmacies near hotels (e.g., South Beach) reporting highest foot traffic</w:t>
      </w:r>
    </w:p>
    <w:p>
      <w:pPr>
        <w:numPr>
          <w:ilvl w:val="0"/>
          <w:numId w:val="1002"/>
        </w:numPr>
        <w:pStyle w:val="Compact"/>
      </w:pPr>
      <w:r>
        <w:rPr>
          <w:bCs/>
          <w:b/>
        </w:rPr>
        <w:t xml:space="preserve">Regulatory Shifts:</w:t>
      </w:r>
      <w:r>
        <w:t xml:space="preserve"> </w:t>
      </w:r>
      <w:r>
        <w:t xml:space="preserve">Florida's 2023 pharmacy benefit manager regulations strengthened our position as a preferred provider for Medicare Part D plans in Miami-Dade County</w:t>
      </w:r>
    </w:p>
    <w:p>
      <w:pPr>
        <w:pStyle w:val="FirstParagraph"/>
      </w:pPr>
      <w:r>
        <w:t xml:space="preserve">Critically, Miami Chemist outperformed national competitors like CVS and Walgreens in prescription retention rates (89% vs. industry average 82%), attributed to personalized clinical counseling services unavailable at chain pharmacies.</w:t>
      </w:r>
    </w:p>
    <w:bookmarkEnd w:id="22"/>
    <w:bookmarkStart w:id="23" w:name="iv.-customer-behavior-insights"/>
    <w:p>
      <w:pPr>
        <w:pStyle w:val="Heading2"/>
      </w:pPr>
      <w:r>
        <w:t xml:space="preserve">IV. Customer Behavior Insights</w:t>
      </w:r>
    </w:p>
    <w:p>
      <w:pPr>
        <w:pStyle w:val="FirstParagraph"/>
      </w:pPr>
      <w:r>
        <w:t xml:space="preserve">Analysis of 12,750 customer interactions revealed pivotal trends specific to the Miami Chemist experience:</w:t>
      </w:r>
    </w:p>
    <w:p>
      <w:pPr>
        <w:numPr>
          <w:ilvl w:val="0"/>
          <w:numId w:val="1003"/>
        </w:numPr>
        <w:pStyle w:val="Compact"/>
      </w:pPr>
      <w:r>
        <w:rPr>
          <w:bCs/>
          <w:b/>
        </w:rPr>
        <w:t xml:space="preserve">Telehealth Integration:</w:t>
      </w:r>
      <w:r>
        <w:t xml:space="preserve"> </w:t>
      </w:r>
      <w:r>
        <w:t xml:space="preserve">63% of customers utilized virtual consultations (up from 41% in Q2), with diabetic management programs reducing hospital readmissions by 22%</w:t>
      </w:r>
    </w:p>
    <w:p>
      <w:pPr>
        <w:numPr>
          <w:ilvl w:val="0"/>
          <w:numId w:val="1003"/>
        </w:numPr>
        <w:pStyle w:val="Compact"/>
      </w:pPr>
      <w:r>
        <w:rPr>
          <w:bCs/>
          <w:b/>
        </w:rPr>
        <w:t xml:space="preserve">Sustainability Demand:</w:t>
      </w:r>
      <w:r>
        <w:t xml:space="preserve"> </w:t>
      </w:r>
      <w:r>
        <w:t xml:space="preserve">Eco-friendly packaging requests grew by 180%, prompting Miami Chemist to launch a "Green Rx" initiative for refillable containers</w:t>
      </w:r>
    </w:p>
    <w:bookmarkEnd w:id="23"/>
    <w:bookmarkStart w:id="24" w:name="v.-strategic-challenges-opportunities"/>
    <w:p>
      <w:pPr>
        <w:pStyle w:val="Heading2"/>
      </w:pPr>
      <w:r>
        <w:t xml:space="preserve">V. Strategic Challenges &amp; Opportunities</w:t>
      </w:r>
    </w:p>
    <w:p>
      <w:pPr>
        <w:pStyle w:val="FirstParagraph"/>
      </w:pPr>
      <w:r>
        <w:t xml:space="preserve">Miami Chemist operations navigated three critical challenges while capitalizing on emerging opportunities:</w:t>
      </w:r>
    </w:p>
    <w:p>
      <w:pPr>
        <w:numPr>
          <w:ilvl w:val="0"/>
          <w:numId w:val="1004"/>
        </w:numPr>
        <w:pStyle w:val="Compact"/>
      </w:pPr>
      <w:r>
        <w:rPr>
          <w:bCs/>
          <w:b/>
        </w:rPr>
        <w:t xml:space="preserve">Challenge: Supply Chain Disruptions:</w:t>
      </w:r>
      <w:r>
        <w:t xml:space="preserve"> </w:t>
      </w:r>
      <w:r>
        <w:t xml:space="preserve">Shortages in specialty drugs (notably oncology agents) impacted 15% of Q3 prescriptions. Mitigation strategy included partnerships with local biotech firms for rapid restocking.</w:t>
      </w:r>
    </w:p>
    <w:p>
      <w:pPr>
        <w:numPr>
          <w:ilvl w:val="0"/>
          <w:numId w:val="1004"/>
        </w:numPr>
        <w:pStyle w:val="Compact"/>
      </w:pPr>
      <w:r>
        <w:rPr>
          <w:bCs/>
          <w:b/>
        </w:rPr>
        <w:t xml:space="preserve">Opportunity: Hispanic Health Market:</w:t>
      </w:r>
      <w:r>
        <w:t xml:space="preserve"> </w:t>
      </w:r>
      <w:r>
        <w:t xml:space="preserve">Miami's growing Latino population represents a $2.1B untapped market for culturally competent health services—Miami Chemist now trains 100% of staff in medical Spanish.</w:t>
      </w:r>
    </w:p>
    <w:p>
      <w:pPr>
        <w:numPr>
          <w:ilvl w:val="0"/>
          <w:numId w:val="1004"/>
        </w:numPr>
        <w:pStyle w:val="Compact"/>
      </w:pPr>
      <w:r>
        <w:rPr>
          <w:bCs/>
          <w:b/>
        </w:rPr>
        <w:t xml:space="preserve">Challenge: Insurance Reimbursement Delays:</w:t>
      </w:r>
      <w:r>
        <w:t xml:space="preserve"> </w:t>
      </w:r>
      <w:r>
        <w:t xml:space="preserve">Average payment cycles extended to 45 days (vs. national standard of 30). Resolution through AI-driven claim optimization reduced delays by 27%.</w:t>
      </w:r>
    </w:p>
    <w:bookmarkEnd w:id="24"/>
    <w:bookmarkStart w:id="25" w:name="vi.-recommendations-for-q4-2023"/>
    <w:p>
      <w:pPr>
        <w:pStyle w:val="Heading2"/>
      </w:pPr>
      <w:r>
        <w:t xml:space="preserve">VI. Recommendations for Q4 2023</w:t>
      </w:r>
    </w:p>
    <w:p>
      <w:pPr>
        <w:pStyle w:val="FirstParagraph"/>
      </w:pPr>
      <w:r>
        <w:t xml:space="preserve">To sustain momentum in the United States Miami market, we propose:</w:t>
      </w:r>
    </w:p>
    <w:p>
      <w:pPr>
        <w:numPr>
          <w:ilvl w:val="0"/>
          <w:numId w:val="1005"/>
        </w:numPr>
        <w:pStyle w:val="Compact"/>
      </w:pPr>
      <w:r>
        <w:rPr>
          <w:bCs/>
          <w:b/>
        </w:rPr>
        <w:t xml:space="preserve">Expand Specialty Clinics:</w:t>
      </w:r>
      <w:r>
        <w:t xml:space="preserve"> </w:t>
      </w:r>
      <w:r>
        <w:t xml:space="preserve">Launch two new dermatology and cardiac wellness clinics at high-traffic locations (Brickell &amp; Downtown Miami) to capture $1.8M in potential annual revenue</w:t>
      </w:r>
    </w:p>
    <w:p>
      <w:pPr>
        <w:numPr>
          <w:ilvl w:val="0"/>
          <w:numId w:val="1005"/>
        </w:numPr>
        <w:pStyle w:val="Compact"/>
      </w:pPr>
      <w:r>
        <w:rPr>
          <w:bCs/>
          <w:b/>
        </w:rPr>
        <w:t xml:space="preserve">Tourist-Targeted Services:</w:t>
      </w:r>
      <w:r>
        <w:t xml:space="preserve"> </w:t>
      </w:r>
      <w:r>
        <w:t xml:space="preserve">Implement "Traveler Health Kits" featuring sunburn relief, allergy meds, and hydration supplements at all beachfront Chemist locations</w:t>
      </w:r>
    </w:p>
    <w:bookmarkEnd w:id="25"/>
    <w:bookmarkStart w:id="26" w:name="vii.-conclusion"/>
    <w:p>
      <w:pPr>
        <w:pStyle w:val="Heading2"/>
      </w:pPr>
      <w:r>
        <w:t xml:space="preserve">VII. Conclusion</w:t>
      </w:r>
    </w:p>
    <w:p>
      <w:pPr>
        <w:pStyle w:val="FirstParagraph"/>
      </w:pPr>
      <w:r>
        <w:t xml:space="preserve">The Q3 Sales Report unequivocally affirms that Miami-based Chemist operations are not merely surviving in the United States pharmaceutical landscape—they are redefining it through hyper-localized service models. Our ability to leverage Miami's cultural diversity, tourism economy, and demographic needs has created a sustainable competitive advantage that directly translates to 7.5% quarterly growth. As we move into Q4, strategic investments in telehealth integration, community health initiatives, and specialty care expansion will position Miami Chemist as the benchmark for regional pharmacy excellence across all United States markets.</w:t>
      </w:r>
    </w:p>
    <w:p>
      <w:pPr>
        <w:pStyle w:val="BodyText"/>
      </w:pPr>
      <w:r>
        <w:t xml:space="preserve">With total sales exceeding $4.8M in this critical United States Miami market—surpassing national benchmarks by 2.3%—the Chemist network has established itself as a vital community health infrastructure partner, proving that personalized pharmaceutical care remains paramount in the American healthcare ecosystem.</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analytics@miamicchemist.com | (305)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 Chemist Sales Performance Report: Miami Market Analysis</dc:title>
  <dc:creator/>
  <dc:language>en</dc:language>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