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Tashkent</w:t>
      </w:r>
      <w:r>
        <w:t xml:space="preserve"> </w:t>
      </w:r>
      <w:r>
        <w:t xml:space="preserve">Chemist</w:t>
      </w:r>
      <w:r>
        <w:t xml:space="preserve"> </w:t>
      </w:r>
      <w:r>
        <w:t xml:space="preserve">Network</w:t>
      </w:r>
      <w:r>
        <w:t xml:space="preserve"> </w:t>
      </w:r>
      <w:r>
        <w:t xml:space="preserve">-</w:t>
      </w:r>
      <w:r>
        <w:t xml:space="preserve"> </w:t>
      </w:r>
      <w:r>
        <w:t xml:space="preserve">Uzbekistan</w:t>
      </w:r>
    </w:p>
    <w:bookmarkStart w:id="31" w:name="X00406044db73939aff45d6ac3376ed4676972b6"/>
    <w:p>
      <w:pPr>
        <w:pStyle w:val="Heading1"/>
      </w:pPr>
      <w:r>
        <w:t xml:space="preserve">Quarterly Sales Report: Tashkent Chemist Network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Central Pharmaceutical Distribution Ltd.</w:t>
      </w:r>
      <w:r>
        <w:br/>
      </w:r>
      <w:r>
        <w:rPr>
          <w:bCs/>
          <w:b/>
        </w:rPr>
        <w:t xml:space="preserve">Location:</w:t>
      </w:r>
      <w:r>
        <w:t xml:space="preserve"> </w:t>
      </w:r>
      <w:r>
        <w:t xml:space="preserve">Tashkent, Uzbekistan</w:t>
      </w:r>
    </w:p>
    <w:bookmarkStart w:id="20" w:name="i.-executive-summary"/>
    <w:p>
      <w:pPr>
        <w:pStyle w:val="Heading2"/>
      </w:pPr>
      <w:r>
        <w:t xml:space="preserve">I. Executive Summary</w:t>
      </w:r>
    </w:p>
    <w:p>
      <w:pPr>
        <w:pStyle w:val="FirstParagraph"/>
      </w:pPr>
      <w:r>
        <w:t xml:space="preserve">This comprehensive Sales Report details the performance of our flagship Chemist network across Tashkent, Uzbekistan during the third quarter of 2023. Despite challenging macroeconomic conditions in Uzbekistan, our network achieved a 14.7% year-over-year sales growth, outperforming regional pharmaceutical averages by 5.3%. The report underscores strategic successes in essential medicines distribution and identifies key opportunities to leverage Uzbekistan's expanding healthcare market through our Tashkent-based operations.</w:t>
      </w:r>
    </w:p>
    <w:bookmarkEnd w:id="20"/>
    <w:bookmarkStart w:id="21" w:name="X39b42b459d0792ed92a574b10eb9d9fd084b609"/>
    <w:p>
      <w:pPr>
        <w:pStyle w:val="Heading2"/>
      </w:pPr>
      <w:r>
        <w:t xml:space="preserve">II. Market Context: Chemist Network in Tashkent, Uzbekistan</w:t>
      </w:r>
    </w:p>
    <w:p>
      <w:pPr>
        <w:pStyle w:val="FirstParagraph"/>
      </w:pPr>
      <w:r>
        <w:t xml:space="preserve">Tashkent remains the epicenter of pharmaceutical commerce in Uzbekistan, housing 68% of the country's registered chemists and serving a population of 3.5 million residents. The National Drug Policy (2021-2030) has accelerated demand for quality-assured medicines, positioning our Chemist network as a critical healthcare partner in Uzbekistan's urban centers. Current market trends indicate rising consumer preference for branded generics and preventive health products – areas where our Tashkent chemists have gained significant traction.</w:t>
      </w:r>
    </w:p>
    <w:bookmarkEnd w:id="21"/>
    <w:bookmarkStart w:id="25" w:name="iii.-sales-performance-analysis-q3-2023"/>
    <w:p>
      <w:pPr>
        <w:pStyle w:val="Heading2"/>
      </w:pPr>
      <w:r>
        <w:t xml:space="preserve">III. Sales Performance Analysis (Q3 2023)</w:t>
      </w:r>
    </w:p>
    <w:bookmarkStart w:id="22" w:name="a.-overall-revenue-streams"/>
    <w:p>
      <w:pPr>
        <w:pStyle w:val="Heading3"/>
      </w:pPr>
      <w:r>
        <w:t xml:space="preserve">A. Overall 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(USD)</w:t>
            </w:r>
          </w:p>
        </w:tc>
        <w:tc>
          <w:tcPr/>
          <w:p>
            <w:pPr>
              <w:pStyle w:val="Compact"/>
              <w:jc w:val="left"/>
            </w:pPr>
            <w:r>
              <w:t xml:space="preserve">% YoY Change</w:t>
            </w:r>
          </w:p>
        </w:tc>
        <w:tc>
          <w:tcPr/>
          <w:p>
            <w:pPr>
              <w:pStyle w:val="Compact"/>
              <w:jc w:val="left"/>
            </w:pPr>
            <w:r>
              <w:t xml:space="preserve">Market Share (Tashkent)</w:t>
            </w:r>
          </w:p>
        </w:tc>
      </w:tr>
      <w:tr>
        <w:tc>
          <w:tcPr/>
          <w:p>
            <w:pPr>
              <w:pStyle w:val="Compact"/>
              <w:jc w:val="left"/>
            </w:pPr>
            <w:r>
              <w:t xml:space="preserve">Prescription Medicines</w:t>
            </w:r>
          </w:p>
        </w:tc>
        <w:tc>
          <w:tcPr/>
          <w:p>
            <w:pPr>
              <w:pStyle w:val="Compact"/>
              <w:jc w:val="left"/>
            </w:pPr>
            <w:r>
              <w:t xml:space="preserve">$1,842,500</w:t>
            </w:r>
          </w:p>
        </w:tc>
        <w:tc>
          <w:tcPr/>
          <w:p>
            <w:pPr>
              <w:pStyle w:val="Compact"/>
              <w:jc w:val="left"/>
            </w:pPr>
            <w:r>
              <w:t xml:space="preserve">+12.3%</w:t>
            </w:r>
          </w:p>
        </w:tc>
        <w:tc>
          <w:tcPr/>
          <w:p>
            <w:pPr>
              <w:pStyle w:val="Compact"/>
              <w:jc w:val="left"/>
            </w:pPr>
            <w:r>
              <w:t xml:space="preserve">38.7%</w:t>
            </w:r>
          </w:p>
        </w:tc>
      </w:tr>
      <w:tr>
        <w:tc>
          <w:tcPr/>
          <w:p>
            <w:pPr>
              <w:pStyle w:val="Compact"/>
              <w:jc w:val="left"/>
            </w:pPr>
            <w:r>
              <w:t xml:space="preserve">OTC &amp; Wellness Products</w:t>
            </w:r>
          </w:p>
        </w:tc>
        <w:tc>
          <w:tcPr/>
          <w:p>
            <w:pPr>
              <w:pStyle w:val="Compact"/>
              <w:jc w:val="left"/>
            </w:pPr>
            <w:r>
              <w:t xml:space="preserve">$965,200</w:t>
            </w:r>
          </w:p>
        </w:tc>
        <w:tc>
          <w:tcPr/>
          <w:p>
            <w:pPr>
              <w:pStyle w:val="Compact"/>
              <w:jc w:val="left"/>
            </w:pPr>
            <w:r>
              <w:t xml:space="preserve">+18.9%</w:t>
            </w:r>
          </w:p>
        </w:tc>
        <w:tc>
          <w:tcPr/>
          <w:p>
            <w:pPr>
              <w:pStyle w:val="Compact"/>
              <w:jc w:val="left"/>
            </w:pPr>
            <w:r>
              <w:t xml:space="preserve">42.1%</w:t>
            </w:r>
          </w:p>
        </w:tc>
      </w:tr>
      <w:tr>
        <w:tc>
          <w:tcPr/>
          <w:p>
            <w:pPr>
              <w:pStyle w:val="Compact"/>
              <w:jc w:val="left"/>
            </w:pPr>
            <w:r>
              <w:t xml:space="preserve">Medical Devices</w:t>
            </w:r>
          </w:p>
        </w:tc>
        <w:tc>
          <w:tcPr/>
          <w:p>
            <w:pPr>
              <w:pStyle w:val="Compact"/>
              <w:jc w:val="left"/>
            </w:pPr>
            <w:r>
              <w:t xml:space="preserve">$327,800</w:t>
            </w:r>
          </w:p>
        </w:tc>
        <w:tc>
          <w:tcPr/>
          <w:p>
            <w:pPr>
              <w:pStyle w:val="Compact"/>
              <w:jc w:val="left"/>
            </w:pPr>
            <w:r>
              <w:t xml:space="preserve">+7.4%</w:t>
            </w:r>
          </w:p>
        </w:tc>
        <w:tc>
          <w:tcPr/>
          <w:p>
            <w:pPr>
              <w:pStyle w:val="Compact"/>
              <w:jc w:val="left"/>
            </w:pPr>
            <w:r>
              <w:t xml:space="preserve">29.5%</w:t>
            </w:r>
          </w:p>
        </w:tc>
      </w:tr>
    </w:tbl>
    <w:p>
      <w:pPr>
        <w:pStyle w:val="BodyText"/>
      </w:pPr>
      <w:r>
        <w:t xml:space="preserve">The 18.9% surge in OTC and wellness products reflects Uzbekistan's growing health awareness, particularly driven by Tashkent consumers seeking immunity boosters and diabetes management solutions post-pandemic. Prescription medicine growth aligns with government initiatives to expand primary healthcare access in Tashkent districts.</w:t>
      </w:r>
    </w:p>
    <w:bookmarkEnd w:id="22"/>
    <w:bookmarkStart w:id="23" w:name="X643bedcd76f3f38becefc86129c1917b2292c78"/>
    <w:p>
      <w:pPr>
        <w:pStyle w:val="Heading3"/>
      </w:pPr>
      <w:r>
        <w:t xml:space="preserve">B. Geographic Performance (Tashkent Districts)</w:t>
      </w:r>
    </w:p>
    <w:p>
      <w:pPr>
        <w:numPr>
          <w:ilvl w:val="0"/>
          <w:numId w:val="1001"/>
        </w:numPr>
        <w:pStyle w:val="Compact"/>
      </w:pPr>
      <w:r>
        <w:rPr>
          <w:bCs/>
          <w:b/>
        </w:rPr>
        <w:t xml:space="preserve">Chilanzar District:</w:t>
      </w:r>
      <w:r>
        <w:t xml:space="preserve"> </w:t>
      </w:r>
      <w:r>
        <w:t xml:space="preserve">Highest sales growth (+21.5%) due to new clinics partnering with our Chemist network</w:t>
      </w:r>
    </w:p>
    <w:p>
      <w:pPr>
        <w:numPr>
          <w:ilvl w:val="0"/>
          <w:numId w:val="1001"/>
        </w:numPr>
        <w:pStyle w:val="Compact"/>
      </w:pPr>
      <w:r>
        <w:rPr>
          <w:bCs/>
          <w:b/>
        </w:rPr>
        <w:t xml:space="preserve">Yunusobod District:</w:t>
      </w:r>
      <w:r>
        <w:t xml:space="preserve"> </w:t>
      </w:r>
      <w:r>
        <w:t xml:space="preserve">Strong OTC performance (+24.3%) from targeted health awareness campaigns</w:t>
      </w:r>
    </w:p>
    <w:p>
      <w:pPr>
        <w:numPr>
          <w:ilvl w:val="0"/>
          <w:numId w:val="1001"/>
        </w:numPr>
        <w:pStyle w:val="Compact"/>
      </w:pPr>
      <w:r>
        <w:rPr>
          <w:bCs/>
          <w:b/>
        </w:rPr>
        <w:t xml:space="preserve">Mirzo Ulugbek District:</w:t>
      </w:r>
      <w:r>
        <w:t xml:space="preserve"> </w:t>
      </w:r>
      <w:r>
        <w:t xml:space="preserve">Leading prescription sales (+16.2%) in specialty medications for cardiovascular care</w:t>
      </w:r>
    </w:p>
    <w:bookmarkEnd w:id="23"/>
    <w:bookmarkStart w:id="24" w:name="c.-key-product-highlights"/>
    <w:p>
      <w:pPr>
        <w:pStyle w:val="Heading3"/>
      </w:pPr>
      <w:r>
        <w:t xml:space="preserve">C. Key Product Highlights</w:t>
      </w:r>
    </w:p>
    <w:p>
      <w:pPr>
        <w:pStyle w:val="FirstParagraph"/>
      </w:pPr>
      <w:r>
        <w:t xml:space="preserve">The 'Tashkent Health Shield' product bundle (antibiotics, vitamins, thermometers) generated $450K in Q3 – 47% of total wellness sales. Our locally adapted Uzbek-language health guides distributed at chemist outlets increased customer retention by 19% in Tashkent.</w:t>
      </w:r>
    </w:p>
    <w:bookmarkEnd w:id="24"/>
    <w:bookmarkEnd w:id="25"/>
    <w:bookmarkStart w:id="26" w:name="iv.-challenges-in-uzbekistans-pharmacies"/>
    <w:p>
      <w:pPr>
        <w:pStyle w:val="Heading2"/>
      </w:pPr>
      <w:r>
        <w:t xml:space="preserve">IV. Challenges in Uzbekistan's Pharmacies</w:t>
      </w:r>
    </w:p>
    <w:p>
      <w:pPr>
        <w:pStyle w:val="FirstParagraph"/>
      </w:pPr>
      <w:r>
        <w:t xml:space="preserve">Despite positive metrics, three critical challenges emerged for our Chemist operations in Tashkent:</w:t>
      </w:r>
    </w:p>
    <w:p>
      <w:pPr>
        <w:numPr>
          <w:ilvl w:val="0"/>
          <w:numId w:val="1002"/>
        </w:numPr>
        <w:pStyle w:val="Compact"/>
      </w:pPr>
      <w:r>
        <w:rPr>
          <w:bCs/>
          <w:b/>
        </w:rPr>
        <w:t xml:space="preserve">Currency Volatility:</w:t>
      </w:r>
      <w:r>
        <w:t xml:space="preserve"> </w:t>
      </w:r>
      <w:r>
        <w:t xml:space="preserve">38% of imported medicines face supply chain disruptions due to USD/uzs fluctuations (1 USD = 12,450 UZS vs. 10,950 in Q3 2022).</w:t>
      </w:r>
    </w:p>
    <w:p>
      <w:pPr>
        <w:numPr>
          <w:ilvl w:val="0"/>
          <w:numId w:val="1002"/>
        </w:numPr>
        <w:pStyle w:val="Compact"/>
      </w:pPr>
      <w:r>
        <w:rPr>
          <w:bCs/>
          <w:b/>
        </w:rPr>
        <w:t xml:space="preserve">Regulatory Compliance:</w:t>
      </w:r>
      <w:r>
        <w:t xml:space="preserve"> </w:t>
      </w:r>
      <w:r>
        <w:t xml:space="preserve">New Uzbekistan Drug Control Authority requirements increased documentation time by 33% at Tashkent distribution centers.</w:t>
      </w:r>
    </w:p>
    <w:p>
      <w:pPr>
        <w:numPr>
          <w:ilvl w:val="0"/>
          <w:numId w:val="1002"/>
        </w:numPr>
        <w:pStyle w:val="Compact"/>
      </w:pPr>
      <w:r>
        <w:rPr>
          <w:bCs/>
          <w:b/>
        </w:rPr>
        <w:t xml:space="preserve">Competition:</w:t>
      </w:r>
      <w:r>
        <w:t xml:space="preserve"> </w:t>
      </w:r>
      <w:r>
        <w:t xml:space="preserve">Aggressive pricing from two new pharmacy chains in Tashkent's Mirobod district captured 6.2% of our OTC market share.</w:t>
      </w:r>
    </w:p>
    <w:bookmarkEnd w:id="26"/>
    <w:bookmarkStart w:id="27" w:name="Xa0c901365d0fb67a80ca7b03240b2ff03640646"/>
    <w:p>
      <w:pPr>
        <w:pStyle w:val="Heading2"/>
      </w:pPr>
      <w:r>
        <w:t xml:space="preserve">V. Strategic Response: Chemist Network Adaptation</w:t>
      </w:r>
    </w:p>
    <w:p>
      <w:pPr>
        <w:pStyle w:val="FirstParagraph"/>
      </w:pPr>
      <w:r>
        <w:t xml:space="preserve">To address these challenges, our Tashkent-based management implemented:</w:t>
      </w:r>
    </w:p>
    <w:p>
      <w:pPr>
        <w:numPr>
          <w:ilvl w:val="0"/>
          <w:numId w:val="1003"/>
        </w:numPr>
        <w:pStyle w:val="Compact"/>
      </w:pPr>
      <w:r>
        <w:rPr>
          <w:bCs/>
          <w:b/>
        </w:rPr>
        <w:t xml:space="preserve">Local Sourcing Initiative:</w:t>
      </w:r>
      <w:r>
        <w:t xml:space="preserve"> </w:t>
      </w:r>
      <w:r>
        <w:t xml:space="preserve">Partnering with Tashkent's State Pharmaceutical Plant to produce 12 essential generic formulations (30% cost reduction)</w:t>
      </w:r>
    </w:p>
    <w:p>
      <w:pPr>
        <w:numPr>
          <w:ilvl w:val="0"/>
          <w:numId w:val="1003"/>
        </w:numPr>
        <w:pStyle w:val="Compact"/>
      </w:pPr>
      <w:r>
        <w:rPr>
          <w:bCs/>
          <w:b/>
        </w:rPr>
        <w:t xml:space="preserve">Digital Integration:</w:t>
      </w:r>
      <w:r>
        <w:t xml:space="preserve"> </w:t>
      </w:r>
      <w:r>
        <w:t xml:space="preserve">Launching 'ChemistTashkent' app for prescription management, used by 78% of our clients in the capital</w:t>
      </w:r>
    </w:p>
    <w:p>
      <w:pPr>
        <w:numPr>
          <w:ilvl w:val="0"/>
          <w:numId w:val="1003"/>
        </w:numPr>
        <w:pStyle w:val="Compact"/>
      </w:pPr>
      <w:r>
        <w:rPr>
          <w:bCs/>
          <w:b/>
        </w:rPr>
        <w:t xml:space="preserve">Community Health Programs:</w:t>
      </w:r>
      <w:r>
        <w:t xml:space="preserve"> </w:t>
      </w:r>
      <w:r>
        <w:t xml:space="preserve">Free diabetes screenings at Tashkent chemists generated 12,600 new customer leads (Q3)</w:t>
      </w:r>
    </w:p>
    <w:bookmarkEnd w:id="27"/>
    <w:bookmarkStart w:id="28" w:name="X134c1e9105f8a3c01ff5bf9cf6026619e09a5c1"/>
    <w:p>
      <w:pPr>
        <w:pStyle w:val="Heading2"/>
      </w:pPr>
      <w:r>
        <w:t xml:space="preserve">VI. Future Outlook for Uzbekistan Chemist Operations</w:t>
      </w:r>
    </w:p>
    <w:p>
      <w:pPr>
        <w:pStyle w:val="FirstParagraph"/>
      </w:pPr>
      <w:r>
        <w:t xml:space="preserve">The Uzbekistan government's $50 million healthcare modernization fund will significantly boost demand for our Chemist network services in Tashkent by 2024. We project:</w:t>
      </w:r>
    </w:p>
    <w:p>
      <w:pPr>
        <w:numPr>
          <w:ilvl w:val="0"/>
          <w:numId w:val="1004"/>
        </w:numPr>
        <w:pStyle w:val="Compact"/>
      </w:pPr>
      <w:r>
        <w:t xml:space="preserve">18-20% annual sales growth for Tashkent chemists through 2025</w:t>
      </w:r>
    </w:p>
    <w:p>
      <w:pPr>
        <w:numPr>
          <w:ilvl w:val="0"/>
          <w:numId w:val="1004"/>
        </w:numPr>
        <w:pStyle w:val="Compact"/>
      </w:pPr>
      <w:r>
        <w:t xml:space="preserve">New revenue streams from telehealth partnerships (targeting 35+ clinics in Tashkent by Q1 2024)</w:t>
      </w:r>
    </w:p>
    <w:p>
      <w:pPr>
        <w:numPr>
          <w:ilvl w:val="0"/>
          <w:numId w:val="1004"/>
        </w:numPr>
        <w:pStyle w:val="Compact"/>
      </w:pPr>
      <w:r>
        <w:t xml:space="preserve">Expansion of 'Chemist Hub' model to all Tashkent districts by end-2024</w:t>
      </w:r>
    </w:p>
    <w:bookmarkEnd w:id="28"/>
    <w:bookmarkStart w:id="29" w:name="vii.-conclusion"/>
    <w:p>
      <w:pPr>
        <w:pStyle w:val="Heading2"/>
      </w:pPr>
      <w:r>
        <w:t xml:space="preserve">VII. Conclusion</w:t>
      </w:r>
    </w:p>
    <w:p>
      <w:pPr>
        <w:pStyle w:val="FirstParagraph"/>
      </w:pPr>
      <w:r>
        <w:t xml:space="preserve">This Sales Report confirms that our Chemist network in Uzbekistan's capital city remains a growth engine for Central Asian pharmaceutical distribution. The strategic pivot toward localized solutions – including Tashkent-focused supply chains and community health engagement – has positioned us to lead Uzbekistan's evolving pharmacy market. We recommend increasing investment in digital infrastructure for Tashkent chemists, as this aligns with both national healthcare goals and our operational objectives in Uzbekistan.</w:t>
      </w:r>
    </w:p>
    <w:p>
      <w:pPr>
        <w:pStyle w:val="BodyText"/>
      </w:pPr>
      <w:r>
        <w:t xml:space="preserve">As the premier Chemist network operating across Uzbekistan Tashkent, we are committed to strengthening our role as a trusted healthcare partner – delivering quality medications while advancing public health outcomes for Tashkent's residents. Our Q3 results demonstrate that strategic adaptation within Uzbekistan's dynamic market environment yields significant competitive advantages.</w:t>
      </w:r>
    </w:p>
    <w:bookmarkEnd w:id="29"/>
    <w:bookmarkStart w:id="30" w:name="viii.-appendices"/>
    <w:p>
      <w:pPr>
        <w:pStyle w:val="Heading2"/>
      </w:pPr>
      <w:r>
        <w:t xml:space="preserve">VIII. Appendices</w:t>
      </w:r>
    </w:p>
    <w:p>
      <w:pPr>
        <w:pStyle w:val="FirstParagraph"/>
      </w:pPr>
      <w:r>
        <w:rPr>
          <w:bCs/>
          <w:b/>
        </w:rPr>
        <w:t xml:space="preserve">Appendix A:</w:t>
      </w:r>
      <w:r>
        <w:t xml:space="preserve"> </w:t>
      </w:r>
      <w:r>
        <w:t xml:space="preserve">Full District Sales Breakdown (Tashkent, Q3 2023)</w:t>
      </w:r>
      <w:r>
        <w:br/>
      </w:r>
      <w:r>
        <w:rPr>
          <w:bCs/>
          <w:b/>
        </w:rPr>
        <w:t xml:space="preserve">Appendix B:</w:t>
      </w:r>
      <w:r>
        <w:t xml:space="preserve"> </w:t>
      </w:r>
      <w:r>
        <w:t xml:space="preserve">Uzbekistan Ministry of Health Compliance Certifications</w:t>
      </w:r>
      <w:r>
        <w:br/>
      </w:r>
      <w:r>
        <w:rPr>
          <w:bCs/>
          <w:b/>
        </w:rPr>
        <w:t xml:space="preserve">Appendix C:</w:t>
      </w:r>
      <w:r>
        <w:t xml:space="preserve"> </w:t>
      </w:r>
      <w:r>
        <w:t xml:space="preserve">Customer Satisfaction Survey Results from Tashkent Chemists (94% positive rating)</w:t>
      </w:r>
    </w:p>
    <w:p>
      <w:pPr>
        <w:pStyle w:val="BodyText"/>
      </w:pPr>
      <w:r>
        <w:rPr>
          <w:iCs/>
          <w:i/>
        </w:rPr>
        <w:t xml:space="preserve">This Sales Report is confidential and intended solely for internal use by Central Pharmaceutical Distribution Ltd. All data sourced from the Tashkent-based operations management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Tashkent Chemist Network - Uzbekistan</dc:title>
  <dc:creator/>
  <dc:language>en</dc:language>
  <cp:keywords/>
  <dcterms:created xsi:type="dcterms:W3CDTF">2026-07-21T14:11:35Z</dcterms:created>
  <dcterms:modified xsi:type="dcterms:W3CDTF">2026-07-21T14:11:35Z</dcterms:modified>
</cp:coreProperties>
</file>

<file path=docProps/custom.xml><?xml version="1.0" encoding="utf-8"?>
<Properties xmlns="http://schemas.openxmlformats.org/officeDocument/2006/custom-properties" xmlns:vt="http://schemas.openxmlformats.org/officeDocument/2006/docPropsVTypes"/>
</file>