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Sales</w:t>
      </w:r>
      <w:r>
        <w:t xml:space="preserve"> </w:t>
      </w:r>
      <w:r>
        <w:t xml:space="preserve">Report:</w:t>
      </w:r>
      <w:r>
        <w:t xml:space="preserve"> </w:t>
      </w:r>
      <w:r>
        <w:t xml:space="preserve">Caracas</w:t>
      </w:r>
      <w:r>
        <w:t xml:space="preserve"> </w:t>
      </w:r>
      <w:r>
        <w:t xml:space="preserve">Chemist</w:t>
      </w:r>
      <w:r>
        <w:t xml:space="preserve"> </w:t>
      </w:r>
      <w:r>
        <w:t xml:space="preserve">Network</w:t>
      </w:r>
      <w:r>
        <w:t xml:space="preserve"> </w:t>
      </w:r>
      <w:r>
        <w:t xml:space="preserve">-</w:t>
      </w:r>
      <w:r>
        <w:t xml:space="preserve"> </w:t>
      </w:r>
      <w:r>
        <w:t xml:space="preserve">Venezuela</w:t>
      </w:r>
    </w:p>
    <w:bookmarkStart w:id="26" w:name="X73497bc22e0d182fdfdf2ac64467042531ce648"/>
    <w:p>
      <w:pPr>
        <w:pStyle w:val="Heading1"/>
      </w:pPr>
      <w:r>
        <w:t xml:space="preserve">Q2 2024 Sales Performance Report: Leading Chemist Operations in Venezuela Caracas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flagship chemist network across Venezuela Caracas for the second quarter of 2024. As a critical healthcare provider serving over 350,000 residents in Caracas, our chemist locations have navigated unprecedented economic volatility while maintaining essential pharmaceutical services. Despite persistent challenges including currency devaluation (Bolivar Soberano to USD conversion rate at 4,150 VES/USD), supply chain disruptions, and inflation exceeding 78% annually, our network achieved a 9.2% year-over-year sales growth in local currency terms. This report underscores the resilience of community-based chemist operations within Venezuela's complex healthcare ecosystem and provides strategic insights for sustained service delivery in Caracas.</w:t>
      </w:r>
    </w:p>
    <w:bookmarkEnd w:id="20"/>
    <w:bookmarkStart w:id="21" w:name="Xd2d82220402fca522656277d927de9cef71bc1c"/>
    <w:p>
      <w:pPr>
        <w:pStyle w:val="Heading2"/>
      </w:pPr>
      <w:r>
        <w:t xml:space="preserve">Sales Performance Analysis: Venezuela Caracas Context</w:t>
      </w:r>
    </w:p>
    <w:p>
      <w:pPr>
        <w:pStyle w:val="FirstParagraph"/>
      </w:pPr>
      <w:r>
        <w:t xml:space="preserve">The Q2 2024 period presented unique dynamics for our chemist network operating throughout Caracas. With the national economy continuing to face severe shortages of imported pharmaceuticals, our strategy pivoted toward optimizing local inventory management and expanding essential medicine distribution points across high-need neighborhoods including Petare, Los Caobos, and El Recreo. Key performance indicators reveal that while total sales revenue increased by 12.7% in VES (from 185 million to 209 million VES), this growth was partially offset by a 33% average price increase on imported medications due to currency depreciation. Crucially, our chemist locations maintained consistent service levels with a remarkable 94.6% product availability rate for essential medicines—significantly above the national average of 78%.</w:t>
      </w:r>
    </w:p>
    <w:bookmarkEnd w:id="21"/>
    <w:bookmarkStart w:id="22" w:name="product-category-performance-breakdown"/>
    <w:p>
      <w:pPr>
        <w:pStyle w:val="Heading2"/>
      </w:pPr>
      <w:r>
        <w:t xml:space="preserve">Product Category Performance Breakdown</w:t>
      </w:r>
    </w:p>
    <w:p>
      <w:pPr>
        <w:pStyle w:val="FirstParagraph"/>
      </w:pPr>
      <w:r>
        <w:t xml:space="preserve">Product Category</w:t>
      </w:r>
    </w:p>
    <w:p>
      <w:pPr>
        <w:pStyle w:val="BodyText"/>
      </w:pPr>
      <w:r>
        <w:t xml:space="preserve">% of Total Sales (Q1 2024)</w:t>
      </w:r>
    </w:p>
    <w:p>
      <w:pPr>
        <w:pStyle w:val="BodyText"/>
      </w:pPr>
      <w:r>
        <w:t xml:space="preserve">% of Total Sales (Q2 2024)</w:t>
      </w:r>
    </w:p>
    <w:p>
      <w:pPr>
        <w:pStyle w:val="BodyText"/>
      </w:pPr>
      <w:r>
        <w:t xml:space="preserve">Y/Y Change</w:t>
      </w:r>
    </w:p>
    <w:p>
      <w:pPr>
        <w:pStyle w:val="BodyText"/>
      </w:pPr>
      <w:r>
        <w:t xml:space="preserve">Basic OTC Medicines</w:t>
      </w:r>
    </w:p>
    <w:p>
      <w:pPr>
        <w:pStyle w:val="BodyText"/>
      </w:pPr>
      <w:r>
        <w:t xml:space="preserve">38.5%</w:t>
      </w:r>
    </w:p>
    <w:p>
      <w:pPr>
        <w:pStyle w:val="BodyText"/>
      </w:pPr>
      <w:r>
        <w:t xml:space="preserve">41.2%</w:t>
      </w:r>
    </w:p>
    <w:p>
      <w:pPr>
        <w:pStyle w:val="BodyText"/>
      </w:pPr>
      <w:r>
        <w:t xml:space="preserve">+6.3%</w:t>
      </w:r>
    </w:p>
    <w:p>
      <w:pPr>
        <w:pStyle w:val="BodyText"/>
      </w:pPr>
      <w:r>
        <w:t xml:space="preserve">Dermatological Products</w:t>
      </w:r>
    </w:p>
    <w:p>
      <w:pPr>
        <w:pStyle w:val="BodyText"/>
      </w:pPr>
      <w:r>
        <w:t xml:space="preserve">18.7%</w:t>
      </w:r>
    </w:p>
    <w:p>
      <w:pPr>
        <w:pStyle w:val="BodyText"/>
      </w:pPr>
      <w:r>
        <w:t xml:space="preserve">20.5%</w:t>
      </w:r>
    </w:p>
    <w:p>
      <w:pPr>
        <w:pStyle w:val="BodyText"/>
      </w:pPr>
      <w:r>
        <w:t xml:space="preserve">+1.8%</w:t>
      </w:r>
    </w:p>
    <w:p>
      <w:pPr>
        <w:pStyle w:val="BodyText"/>
      </w:pPr>
      <w:r>
        <w:t xml:space="preserve">Chronic Disease Management (Hypertension/Diabetes)</w:t>
      </w:r>
    </w:p>
    <w:p>
      <w:pPr>
        <w:pStyle w:val="BodyText"/>
      </w:pPr>
      <w:r>
        <w:t xml:space="preserve">24.3%</w:t>
      </w:r>
    </w:p>
    <w:p>
      <w:pPr>
        <w:pStyle w:val="BodyText"/>
      </w:pPr>
      <w:r>
        <w:t xml:space="preserve">27.1%</w:t>
      </w:r>
    </w:p>
    <w:p>
      <w:pPr>
        <w:pStyle w:val="BodyText"/>
      </w:pPr>
      <w:r>
        <w:t xml:space="preserve">+2.8%</w:t>
      </w:r>
    </w:p>
    <w:p>
      <w:pPr>
        <w:pStyle w:val="BodyText"/>
      </w:pPr>
      <w:r>
        <w:t xml:space="preserve">Vitamins &amp; Nutritional Supplements10.9%12.5%</w:t>
      </w:r>
    </w:p>
    <w:p>
      <w:pPr>
        <w:pStyle w:val="BodyText"/>
      </w:pPr>
      <w:r>
        <w:t xml:space="preserve">+1.6%</w:t>
      </w:r>
    </w:p>
    <w:p>
      <w:pPr>
        <w:pStyle w:val="BodyText"/>
      </w:pPr>
      <w:r>
        <w:t xml:space="preserve">Medical Supplies (Masks, Gloves)</w:t>
      </w:r>
    </w:p>
    <w:p>
      <w:pPr>
        <w:pStyle w:val="BodyText"/>
      </w:pPr>
      <w:r>
        <w:t xml:space="preserve">7.6%</w:t>
      </w:r>
    </w:p>
    <w:p>
      <w:pPr>
        <w:pStyle w:val="BodyText"/>
      </w:pPr>
      <w:r>
        <w:t xml:space="preserve">8.7%</w:t>
      </w:r>
    </w:p>
    <w:p>
      <w:pPr>
        <w:pStyle w:val="BodyText"/>
      </w:pPr>
      <w:r>
        <w:t xml:space="preserve">+1.1%</w:t>
      </w:r>
    </w:p>
    <w:p>
      <w:pPr>
        <w:pStyle w:val="BodyText"/>
      </w:pPr>
      <w:r>
        <w:t xml:space="preserve">The data above illustrates a significant shift toward essential health products, reflecting Caracas residents' prioritization of preventive care amid economic hardship. Notably, chronic disease management products showed the strongest growth (27.1% of sales), indicating that our chemist network has become a critical lifeline for Venezuela's aging population and diabetes/hypertension patients who require uninterrupted medication access. This trend aligns with national health ministry initiatives to decentralize pharmaceutical distribution through community chemists in Caracas.</w:t>
      </w:r>
    </w:p>
    <w:bookmarkEnd w:id="22"/>
    <w:bookmarkStart w:id="23" w:name="Xbfa9598e95ec93b50af133957f53080acba7a85"/>
    <w:p>
      <w:pPr>
        <w:pStyle w:val="Heading2"/>
      </w:pPr>
      <w:r>
        <w:t xml:space="preserve">Operational Challenges &amp; Localized Solutions</w:t>
      </w:r>
    </w:p>
    <w:p>
      <w:pPr>
        <w:pStyle w:val="FirstParagraph"/>
      </w:pPr>
      <w:r>
        <w:t xml:space="preserve">Operating as a chemist network within Venezuela Caracas demands constant adaptation to macroeconomic forces. Key challenges documented in Q2 include:</w:t>
      </w:r>
    </w:p>
    <w:p>
      <w:pPr>
        <w:numPr>
          <w:ilvl w:val="0"/>
          <w:numId w:val="1001"/>
        </w:numPr>
        <w:pStyle w:val="Compact"/>
      </w:pPr>
      <w:r>
        <w:rPr>
          <w:bCs/>
          <w:b/>
        </w:rPr>
        <w:t xml:space="preserve">Supply Chain Fragmentation:</w:t>
      </w:r>
      <w:r>
        <w:t xml:space="preserve"> </w:t>
      </w:r>
      <w:r>
        <w:t xml:space="preserve">47% of imported pharmaceutical shipments faced delays exceeding 30 days due to customs bottlenecks, necessitating our chemist team to develop local procurement partnerships with VeneFarmacéutica (Caracas-based manufacturer)</w:t>
      </w:r>
    </w:p>
    <w:p>
      <w:pPr>
        <w:numPr>
          <w:ilvl w:val="0"/>
          <w:numId w:val="1001"/>
        </w:numPr>
        <w:pStyle w:val="Compact"/>
      </w:pPr>
      <w:r>
        <w:rPr>
          <w:bCs/>
          <w:b/>
        </w:rPr>
        <w:t xml:space="preserve">Currency Volatility:</w:t>
      </w:r>
      <w:r>
        <w:t xml:space="preserve"> </w:t>
      </w:r>
      <w:r>
        <w:t xml:space="preserve">Daily exchange rate fluctuations created pricing instability. We implemented a dynamic pricing model for our chemist locations—adjusting prices weekly based on official rates rather than monthly</w:t>
      </w:r>
    </w:p>
    <w:p>
      <w:pPr>
        <w:numPr>
          <w:ilvl w:val="0"/>
          <w:numId w:val="1001"/>
        </w:numPr>
        <w:pStyle w:val="Compact"/>
      </w:pPr>
      <w:r>
        <w:rPr>
          <w:bCs/>
          <w:b/>
        </w:rPr>
        <w:t xml:space="preserve">Customer Accessibility:</w:t>
      </w:r>
      <w:r>
        <w:t xml:space="preserve"> </w:t>
      </w:r>
      <w:r>
        <w:t xml:space="preserve">Transportation shortages reduced foot traffic by 22%. Our solution involved launching "Chemist On Wheels" mobile service in high-demand areas like La Pastora, serving 1,800+ patients per week</w:t>
      </w:r>
    </w:p>
    <w:bookmarkEnd w:id="23"/>
    <w:bookmarkStart w:id="24" w:name="Xb267c29345f5c5bf549cb3f689843eb50ebe3bf"/>
    <w:p>
      <w:pPr>
        <w:pStyle w:val="Heading2"/>
      </w:pPr>
      <w:r>
        <w:t xml:space="preserve">Strategic Recommendations for Venezuela Caracas Chemist Network</w:t>
      </w:r>
    </w:p>
    <w:p>
      <w:pPr>
        <w:pStyle w:val="FirstParagraph"/>
      </w:pPr>
      <w:r>
        <w:t xml:space="preserve">Based on Q2 performance metrics and Venezuela's evolving healthcare landscape, we recommend the following strategic priorities for our chemist operations in Caracas:</w:t>
      </w:r>
    </w:p>
    <w:p>
      <w:pPr>
        <w:numPr>
          <w:ilvl w:val="0"/>
          <w:numId w:val="1002"/>
        </w:numPr>
        <w:pStyle w:val="Compact"/>
      </w:pPr>
      <w:r>
        <w:rPr>
          <w:bCs/>
          <w:b/>
        </w:rPr>
        <w:t xml:space="preserve">Expand Local Manufacturing Partnerships:</w:t>
      </w:r>
      <w:r>
        <w:t xml:space="preserve"> </w:t>
      </w:r>
      <w:r>
        <w:t xml:space="preserve">Formalize agreements with 3 additional Caracas-based pharmaceutical producers to reduce import dependency. This aligns with government "Misión Bicentenario" initiative to boost local drug production capacity.</w:t>
      </w:r>
    </w:p>
    <w:p>
      <w:pPr>
        <w:numPr>
          <w:ilvl w:val="0"/>
          <w:numId w:val="1002"/>
        </w:numPr>
        <w:pStyle w:val="Compact"/>
      </w:pPr>
      <w:r>
        <w:rPr>
          <w:bCs/>
          <w:b/>
        </w:rPr>
        <w:t xml:space="preserve">Implement Digital Inventory Systems:</w:t>
      </w:r>
      <w:r>
        <w:t xml:space="preserve"> </w:t>
      </w:r>
      <w:r>
        <w:t xml:space="preserve">Deploy AI-driven stock management tools across all chemist locations to predict shortages and optimize limited inventory—critical given the 68% increase in product recalls during Q2 due to expired stock.</w:t>
      </w:r>
    </w:p>
    <w:p>
      <w:pPr>
        <w:numPr>
          <w:ilvl w:val="0"/>
          <w:numId w:val="1002"/>
        </w:numPr>
        <w:pStyle w:val="Compact"/>
      </w:pPr>
      <w:r>
        <w:rPr>
          <w:bCs/>
          <w:b/>
        </w:rPr>
        <w:t xml:space="preserve">Community Health Integration:</w:t>
      </w:r>
      <w:r>
        <w:t xml:space="preserve"> </w:t>
      </w:r>
      <w:r>
        <w:t xml:space="preserve">Partner with municipal health centers in Caracas neighborhoods for joint wellness programs targeting hypertension and diabetes management, enhancing our chemist's role as a community health anchor.</w:t>
      </w:r>
    </w:p>
    <w:p>
      <w:pPr>
        <w:numPr>
          <w:ilvl w:val="0"/>
          <w:numId w:val="1002"/>
        </w:numPr>
        <w:pStyle w:val="Compact"/>
      </w:pPr>
      <w:r>
        <w:rPr>
          <w:bCs/>
          <w:b/>
        </w:rPr>
        <w:t xml:space="preserve">Currency Hedging Strategy:</w:t>
      </w:r>
      <w:r>
        <w:t xml:space="preserve"> </w:t>
      </w:r>
      <w:r>
        <w:t xml:space="preserve">Establish a monthly VES/USD forward contract to stabilize pricing for essential medications at our chemist locations, reducing customer purchase uncertainty during economic volatility.</w:t>
      </w:r>
    </w:p>
    <w:bookmarkEnd w:id="24"/>
    <w:bookmarkStart w:id="25" w:name="X2468db3ffd49844c779bb21a0adaca2c05097b4"/>
    <w:p>
      <w:pPr>
        <w:pStyle w:val="Heading2"/>
      </w:pPr>
      <w:r>
        <w:t xml:space="preserve">Conclusion: The Essential Role of Chemists in Venezuela Caracas</w:t>
      </w:r>
    </w:p>
    <w:p>
      <w:pPr>
        <w:pStyle w:val="FirstParagraph"/>
      </w:pPr>
      <w:r>
        <w:t xml:space="preserve">This Sales Report confirms that community-based chemist operations remain indispensable to healthcare access in Venezuela Caracas. With the national pharmaceutical supply chain under severe strain, our network has demonstrated exceptional adaptability while maintaining service quality across 18 strategically located chemist outlets throughout the city. The 9.2% sales growth despite economic headwinds proves that essential health services are a priority for Caracas residents even during crisis periods.</w:t>
      </w:r>
    </w:p>
    <w:p>
      <w:pPr>
        <w:pStyle w:val="BodyText"/>
      </w:pPr>
      <w:r>
        <w:t xml:space="preserve">As Venezuela navigates its complex socioeconomic environment, our chemist network must continue prioritizing accessibility and reliability above all else. The data presented herein underscores that targeted investments in local partnerships, digital transformation, and community engagement will not only sustain our sales performance but also strengthen the vital role of chemists as pillars of public health infrastructure in Caracas. Future reports will track these initiatives' impact on both financial metrics and patient outcomes across Venezuela's capital city.</w:t>
      </w:r>
    </w:p>
    <w:p>
      <w:pPr>
        <w:pStyle w:val="BodyText"/>
      </w:pPr>
      <w:r>
        <w:rPr>
          <w:iCs/>
          <w:i/>
        </w:rPr>
        <w:t xml:space="preserve">Prepared by: Sales Analytics Department • Venezuela Caracas Operations</w:t>
      </w:r>
      <w:r>
        <w:br/>
      </w:r>
      <w:r>
        <w:rPr>
          <w:iCs/>
          <w:i/>
        </w:rPr>
        <w:t xml:space="preserve">Date: July 15, 2024 • Confidential for Chemist Network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Sales Report: Caracas Chemist Network - Venezuela</dc:title>
  <dc:creator/>
  <dc:language>en</dc:language>
  <cp:keywords/>
  <dcterms:created xsi:type="dcterms:W3CDTF">2026-07-23T20:10:36Z</dcterms:created>
  <dcterms:modified xsi:type="dcterms:W3CDTF">2026-07-23T20:10:36Z</dcterms:modified>
</cp:coreProperties>
</file>

<file path=docProps/custom.xml><?xml version="1.0" encoding="utf-8"?>
<Properties xmlns="http://schemas.openxmlformats.org/officeDocument/2006/custom-properties" xmlns:vt="http://schemas.openxmlformats.org/officeDocument/2006/docPropsVTypes"/>
</file>