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Sector</w:t>
      </w:r>
      <w:r>
        <w:t xml:space="preserve"> </w:t>
      </w:r>
      <w:r>
        <w:t xml:space="preserve">Performance</w:t>
      </w:r>
      <w:r>
        <w:t xml:space="preserve"> </w:t>
      </w:r>
      <w:r>
        <w:t xml:space="preserve">in</w:t>
      </w:r>
      <w:r>
        <w:t xml:space="preserve"> </w:t>
      </w:r>
      <w:r>
        <w:t xml:space="preserve">China</w:t>
      </w:r>
      <w:r>
        <w:t xml:space="preserve"> </w:t>
      </w:r>
      <w:r>
        <w:t xml:space="preserve">Beijing</w:t>
      </w:r>
    </w:p>
    <w:bookmarkStart w:id="27" w:name="X1afea7f9cf590b01f8cdf0273c3923f9a482bb2"/>
    <w:p>
      <w:pPr>
        <w:pStyle w:val="Heading1"/>
      </w:pPr>
      <w:r>
        <w:t xml:space="preserve">Comprehensive Sales Report: Civil Engineer Solutions in China Beijing Market (Q3 2023)</w:t>
      </w:r>
    </w:p>
    <w:bookmarkStart w:id="20" w:name="executive-summary"/>
    <w:p>
      <w:pPr>
        <w:pStyle w:val="Heading2"/>
      </w:pPr>
      <w:r>
        <w:t xml:space="preserve">Executive Summary</w:t>
      </w:r>
    </w:p>
    <w:p>
      <w:pPr>
        <w:pStyle w:val="FirstParagraph"/>
      </w:pPr>
      <w:r>
        <w:t xml:space="preserve">This Sales Report details the performance of civil engineering services and solutions across the dynamic construction landscape of Beijing, China. As a critical hub for infrastructure development within the People's Republic of China, Beijing continues to present exceptional opportunities for specialized Civil Engineer service providers. This quarter has witnessed remarkable growth in demand for high-precision civil engineering solutions, driven by Beijing's ambitious urban renewal projects and sustainability initiatives. Our sales performance in this sector has exceeded projections by 22%, establishing a strong foundation for long-term market dominance.</w:t>
      </w:r>
    </w:p>
    <w:bookmarkEnd w:id="20"/>
    <w:bookmarkStart w:id="21" w:name="X873d75e8db840eb10101d522929c4a44ed75c92"/>
    <w:p>
      <w:pPr>
        <w:pStyle w:val="Heading2"/>
      </w:pPr>
      <w:r>
        <w:t xml:space="preserve">Market Context: Civil Engineering Demand in China Beijing</w:t>
      </w:r>
    </w:p>
    <w:p>
      <w:pPr>
        <w:pStyle w:val="FirstParagraph"/>
      </w:pPr>
      <w:r>
        <w:t xml:space="preserve">The Beijing municipal government has prioritized infrastructure modernization through its "14th Five-Year Plan," allocating over ¥1.8 trillion (USD 250 billion) specifically for civil engineering projects. This includes the expansion of the metro network, eco-city developments in Tongzhou New Town, and seismic reinforcement of historic structures across the capital. As China's political and economic epicenter, Beijing attracts 37% of all national infrastructure investment – making it an indispensable market for Civil Engineer service providers seeking scalable growth.</w:t>
      </w:r>
    </w:p>
    <w:bookmarkEnd w:id="21"/>
    <w:bookmarkStart w:id="22" w:name="key-sales-performance-metrics-q3-2023"/>
    <w:p>
      <w:pPr>
        <w:pStyle w:val="Heading2"/>
      </w:pPr>
      <w:r>
        <w:t xml:space="preserve">Key Sales Performance Metrics (Q3 2023)</w:t>
      </w:r>
    </w:p>
    <w:p>
      <w:pPr>
        <w:pStyle w:val="FirstParagraph"/>
      </w:pPr>
      <w:r>
        <w:t xml:space="preserve">Project Category</w:t>
      </w:r>
    </w:p>
    <w:p>
      <w:pPr>
        <w:pStyle w:val="BodyText"/>
      </w:pPr>
      <w:r>
        <w:t xml:space="preserve">Revenue Generated (¥ Million)</w:t>
      </w:r>
    </w:p>
    <w:p>
      <w:pPr>
        <w:pStyle w:val="BodyText"/>
      </w:pPr>
      <w:r>
        <w:t xml:space="preserve">% Growth vs Q2</w:t>
      </w:r>
    </w:p>
    <w:p>
      <w:pPr>
        <w:pStyle w:val="BodyText"/>
      </w:pPr>
      <w:r>
        <w:t xml:space="preserve">Key Clients</w:t>
      </w:r>
    </w:p>
    <w:p>
      <w:pPr>
        <w:pStyle w:val="BodyText"/>
      </w:pPr>
      <w:r>
        <w:t xml:space="preserve">Metro Line Expansion (Beijing Subway Phase 5)</w:t>
      </w:r>
    </w:p>
    <w:p>
      <w:pPr>
        <w:pStyle w:val="BodyText"/>
      </w:pPr>
      <w:r>
        <w:t xml:space="preserve">148.7</w:t>
      </w:r>
    </w:p>
    <w:p>
      <w:pPr>
        <w:pStyle w:val="BodyText"/>
      </w:pPr>
      <w:r>
        <w:t xml:space="preserve">+34%</w:t>
      </w:r>
    </w:p>
    <w:p>
      <w:pPr>
        <w:pStyle w:val="BodyText"/>
      </w:pPr>
      <w:r>
        <w:t xml:space="preserve">Beijing MTR Corporation, China Railway Construction Corp.</w:t>
      </w:r>
    </w:p>
    <w:p>
      <w:pPr>
        <w:pStyle w:val="BodyText"/>
      </w:pPr>
      <w:r>
        <w:t xml:space="preserve">Sustainable Urban Renewal Projects</w:t>
      </w:r>
    </w:p>
    <w:p>
      <w:pPr>
        <w:pStyle w:val="BodyText"/>
      </w:pPr>
      <w:r>
        <w:t xml:space="preserve">96.2</w:t>
      </w:r>
    </w:p>
    <w:p>
      <w:pPr>
        <w:pStyle w:val="BodyText"/>
      </w:pPr>
      <w:r>
        <w:t xml:space="preserve">+27%</w:t>
      </w:r>
    </w:p>
    <w:p>
      <w:pPr>
        <w:pStyle w:val="BodyText"/>
      </w:pPr>
      <w:r>
        <w:t xml:space="preserve">Capital Group (Beijing), Beijing Urban Development Group</w:t>
      </w:r>
    </w:p>
    <w:p>
      <w:pPr>
        <w:pStyle w:val="BodyText"/>
      </w:pPr>
      <w:r>
        <w:t xml:space="preserve">Total Civil Engineer Sales</w:t>
      </w:r>
    </w:p>
    <w:p>
      <w:pPr>
        <w:pStyle w:val="BodyText"/>
      </w:pPr>
      <w:r>
        <w:t xml:space="preserve">244.9</w:t>
      </w:r>
    </w:p>
    <w:p>
      <w:pPr>
        <w:pStyle w:val="BodyText"/>
      </w:pPr>
      <w:r>
        <w:t xml:space="preserve">+28.5%</w:t>
      </w:r>
    </w:p>
    <w:p>
      <w:pPr>
        <w:pStyle w:val="BodyText"/>
      </w:pPr>
      <w:r>
        <w:t xml:space="preserve">Exceeding Q3 target by 19%</w:t>
      </w:r>
    </w:p>
    <w:bookmarkEnd w:id="22"/>
    <w:bookmarkStart w:id="23" w:name="Xe5b10d002269edd235af5b5e95167e7a5b27a57"/>
    <w:p>
      <w:pPr>
        <w:pStyle w:val="Heading2"/>
      </w:pPr>
      <w:r>
        <w:t xml:space="preserve">Strategic Initiatives Driving Success in China Beijing</w:t>
      </w:r>
    </w:p>
    <w:p>
      <w:pPr>
        <w:pStyle w:val="FirstParagraph"/>
      </w:pPr>
      <w:r>
        <w:t xml:space="preserve">Our sales success stems from three core strategies uniquely tailored to Beijing's civil engineering market:</w:t>
      </w:r>
    </w:p>
    <w:p>
      <w:pPr>
        <w:numPr>
          <w:ilvl w:val="0"/>
          <w:numId w:val="1001"/>
        </w:numPr>
        <w:pStyle w:val="Compact"/>
      </w:pPr>
      <w:r>
        <w:rPr>
          <w:bCs/>
          <w:b/>
        </w:rPr>
        <w:t xml:space="preserve">CLocalized Technical Expertise</w:t>
      </w:r>
      <w:r>
        <w:t xml:space="preserve">: We deployed 15 senior Civil Engineer specialists with Mandarin fluency and deep knowledge of GB/T standards (China National Standards). These engineers conducted on-site consultations at 23 major construction sites across Beijing, directly addressing regulatory complexities unique to China's municipal projects.</w:t>
      </w:r>
    </w:p>
    <w:p>
      <w:pPr>
        <w:numPr>
          <w:ilvl w:val="0"/>
          <w:numId w:val="1001"/>
        </w:numPr>
        <w:pStyle w:val="Compact"/>
      </w:pPr>
      <w:r>
        <w:rPr>
          <w:bCs/>
          <w:b/>
        </w:rPr>
        <w:t xml:space="preserve">Green Infrastructure Partnerships</w:t>
      </w:r>
      <w:r>
        <w:t xml:space="preserve">: Capitalizing on Beijing's "Carbon Neutrality by 2060" policy, we secured contracts for carbon-reducing structural solutions. Our solar-integrated bridge design for the Miyun Reservoir Access Road project reduced client emissions by 18,000 tons annually – a key differentiator in government procurement.</w:t>
      </w:r>
    </w:p>
    <w:p>
      <w:pPr>
        <w:numPr>
          <w:ilvl w:val="0"/>
          <w:numId w:val="1001"/>
        </w:numPr>
        <w:pStyle w:val="Compact"/>
      </w:pPr>
      <w:r>
        <w:rPr>
          <w:bCs/>
          <w:b/>
        </w:rPr>
        <w:t xml:space="preserve">Technology Integration</w:t>
      </w:r>
      <w:r>
        <w:t xml:space="preserve">: Implementation of our AI-powered site monitoring system (Beijing Civil Engineering Suite) achieved 40% faster project delivery for the Wangfujing Commercial District redevelopment, attracting additional contracts through demonstrable ROI.</w:t>
      </w:r>
    </w:p>
    <w:bookmarkEnd w:id="23"/>
    <w:bookmarkStart w:id="24" w:name="market-challenges-and-adaptive-solutions"/>
    <w:p>
      <w:pPr>
        <w:pStyle w:val="Heading2"/>
      </w:pPr>
      <w:r>
        <w:t xml:space="preserve">Market Challenges and Adaptive Solutions</w:t>
      </w:r>
    </w:p>
    <w:p>
      <w:pPr>
        <w:pStyle w:val="FirstParagraph"/>
      </w:pPr>
      <w:r>
        <w:t xml:space="preserve">While opportunities abound, Beijing's civil engineering sector presents specific challenges requiring agile responses:</w:t>
      </w:r>
    </w:p>
    <w:p>
      <w:pPr>
        <w:numPr>
          <w:ilvl w:val="0"/>
          <w:numId w:val="1002"/>
        </w:numPr>
        <w:pStyle w:val="Compact"/>
      </w:pPr>
      <w:r>
        <w:rPr>
          <w:bCs/>
          <w:b/>
        </w:rPr>
        <w:t xml:space="preserve">Regulatory Complexity</w:t>
      </w:r>
      <w:r>
        <w:t xml:space="preserve">: Navigating China's evolving construction codes (e.g., GB 50011-2010 seismic standards) required our Civil Engineer team to complete 28 specialized compliance workshops with Beijing Municipal Housing Authority. This proactive approach eliminated two major project delays for our client, Shenzhen Metro Group.</w:t>
      </w:r>
    </w:p>
    <w:p>
      <w:pPr>
        <w:numPr>
          <w:ilvl w:val="0"/>
          <w:numId w:val="1002"/>
        </w:numPr>
        <w:pStyle w:val="Compact"/>
      </w:pPr>
      <w:r>
        <w:rPr>
          <w:bCs/>
          <w:b/>
        </w:rPr>
        <w:t xml:space="preserve">Supply Chain Volatility</w:t>
      </w:r>
      <w:r>
        <w:t xml:space="preserve">: Rising steel costs impacted 67% of projects. Our sales team negotiated fixed-price agreements with three state-owned steel manufacturers through the China Steel Association, securing 92% on-time material delivery for Q3 projects.</w:t>
      </w:r>
    </w:p>
    <w:p>
      <w:pPr>
        <w:numPr>
          <w:ilvl w:val="0"/>
          <w:numId w:val="1002"/>
        </w:numPr>
        <w:pStyle w:val="Compact"/>
      </w:pPr>
      <w:r>
        <w:rPr>
          <w:bCs/>
          <w:b/>
        </w:rPr>
        <w:t xml:space="preserve">Talent Acquisition</w:t>
      </w:r>
      <w:r>
        <w:t xml:space="preserve">: Beijing's competition for qualified Civil Engineers is intense (unemployment rate: 1.8% in engineering fields). We established a partnership with Tsinghua University's Civil Engineering Department, creating a dedicated talent pipeline that reduced recruitment time by 57%.</w:t>
      </w:r>
    </w:p>
    <w:bookmarkEnd w:id="24"/>
    <w:bookmarkStart w:id="25" w:name="Xb4287303fc32bbea097a2e12b181d0b08278b32"/>
    <w:p>
      <w:pPr>
        <w:pStyle w:val="Heading2"/>
      </w:pPr>
      <w:r>
        <w:t xml:space="preserve">Future Sales Strategy: Expanding Civil Engineer Footprint in China Beijing</w:t>
      </w:r>
    </w:p>
    <w:p>
      <w:pPr>
        <w:pStyle w:val="FirstParagraph"/>
      </w:pPr>
      <w:r>
        <w:t xml:space="preserve">Based on Q3 results, we recommend three strategic priorities for sustained growth:</w:t>
      </w:r>
    </w:p>
    <w:p>
      <w:pPr>
        <w:numPr>
          <w:ilvl w:val="0"/>
          <w:numId w:val="1003"/>
        </w:numPr>
        <w:pStyle w:val="Compact"/>
      </w:pPr>
      <w:r>
        <w:rPr>
          <w:bCs/>
          <w:b/>
        </w:rPr>
        <w:t xml:space="preserve">Prioritize Smart City Integration</w:t>
      </w:r>
      <w:r>
        <w:t xml:space="preserve">: Bid for Phase 2 of Beijing's "Digital Twin City" initiative, where civil engineering data drives urban management. Our proposal to integrate IoT sensors into road infrastructure (already piloted at the Beijing Capital Airport Expressway) positions us as technology leaders.</w:t>
      </w:r>
    </w:p>
    <w:p>
      <w:pPr>
        <w:numPr>
          <w:ilvl w:val="0"/>
          <w:numId w:val="1003"/>
        </w:numPr>
        <w:pStyle w:val="Compact"/>
      </w:pPr>
      <w:r>
        <w:rPr>
          <w:bCs/>
          <w:b/>
        </w:rPr>
        <w:t xml:space="preserve">Develop Localized Service Packages</w:t>
      </w:r>
      <w:r>
        <w:t xml:space="preserve">: Create tiered Civil Engineer solutions specifically for Beijing's 16 districts, addressing unique needs like Xicheng District's historic preservation requirements or Chaoyang District's high-rise development challenges.</w:t>
      </w:r>
    </w:p>
    <w:p>
      <w:pPr>
        <w:numPr>
          <w:ilvl w:val="0"/>
          <w:numId w:val="1003"/>
        </w:numPr>
        <w:pStyle w:val="Compact"/>
      </w:pPr>
      <w:r>
        <w:rPr>
          <w:bCs/>
          <w:b/>
        </w:rPr>
        <w:t xml:space="preserve">Government Relations Enhancement</w:t>
      </w:r>
      <w:r>
        <w:t xml:space="preserve">: Allocate 25% of Q4 sales budget to strategic engagement with Beijing Construction Commission through the "Green Infrastructure Forum," targeting procurement opportunities from the upcoming 2024 Urban Development Plan.</w:t>
      </w:r>
    </w:p>
    <w:bookmarkEnd w:id="25"/>
    <w:bookmarkStart w:id="26" w:name="X9376fc9c99e4455838a25ecced205b1ccb9dd81"/>
    <w:p>
      <w:pPr>
        <w:pStyle w:val="Heading2"/>
      </w:pPr>
      <w:r>
        <w:t xml:space="preserve">Conclusion: Cementing Leadership in Beijing Civil Engineering Sales</w:t>
      </w:r>
    </w:p>
    <w:p>
      <w:pPr>
        <w:pStyle w:val="FirstParagraph"/>
      </w:pPr>
      <w:r>
        <w:t xml:space="preserve">The China Beijing civil engineering market represents not just a revenue stream, but a strategic imperative for global infrastructure providers. Our Q3 Sales Report confirms that tailored technical expertise, regulatory mastery, and technology-driven solutions have positioned us as the preferred Civil Engineer partner in this high-stakes market. With Beijing's construction sector projected to grow at 14% annually through 2026 (per National Bureau of Statistics), our targeted approach delivers sustainable competitive advantage.</w:t>
      </w:r>
    </w:p>
    <w:p>
      <w:pPr>
        <w:pStyle w:val="BodyText"/>
      </w:pPr>
      <w:r>
        <w:t xml:space="preserve">As we move into Q4, our sales team will focus on scaling the successful models established this quarter. The integration of AI-powered civil engineering solutions within Beijing's infrastructure ecosystem is no longer optional – it is the benchmark for market leadership. This Sales Report underscores our commitment to excellence: where Civil Engineer innovation meets China Beijing's urban transformation vision, delivering measurable value for clients and stakeholders alike.</w:t>
      </w:r>
    </w:p>
    <w:p>
      <w:pPr>
        <w:pStyle w:val="BodyText"/>
      </w:pPr>
      <w:r>
        <w:rPr>
          <w:bCs/>
          <w:b/>
        </w:rPr>
        <w:t xml:space="preserve">Prepared By:</w:t>
      </w:r>
      <w:r>
        <w:t xml:space="preserve"> </w:t>
      </w:r>
      <w:r>
        <w:t xml:space="preserve">Global Infrastructure Sales Division</w:t>
      </w:r>
      <w:r>
        <w:br/>
      </w:r>
      <w:r>
        <w:rPr>
          <w:bCs/>
          <w:b/>
        </w:rPr>
        <w:t xml:space="preserve">Date:</w:t>
      </w:r>
      <w:r>
        <w:t xml:space="preserve"> </w:t>
      </w:r>
      <w:r>
        <w:t xml:space="preserve">October 26, 2023</w:t>
      </w:r>
      <w:r>
        <w:br/>
      </w:r>
      <w:r>
        <w:rPr>
          <w:bCs/>
          <w:b/>
        </w:rPr>
        <w:t xml:space="preserve">Market Focus:</w:t>
      </w:r>
      <w:r>
        <w:t xml:space="preserve"> </w:t>
      </w:r>
      <w:r>
        <w:t xml:space="preserve">Civil Engineering Services in China Beijing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Sector Performance in China Beijing</dc:title>
  <dc:creator/>
  <dc:language>en</dc:language>
  <cp:keywords/>
  <dcterms:created xsi:type="dcterms:W3CDTF">2026-07-23T03:06:51Z</dcterms:created>
  <dcterms:modified xsi:type="dcterms:W3CDTF">2026-07-23T03:06:51Z</dcterms:modified>
</cp:coreProperties>
</file>

<file path=docProps/custom.xml><?xml version="1.0" encoding="utf-8"?>
<Properties xmlns="http://schemas.openxmlformats.org/officeDocument/2006/custom-properties" xmlns:vt="http://schemas.openxmlformats.org/officeDocument/2006/docPropsVTypes"/>
</file>