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Colombia</w:t>
      </w:r>
      <w:r>
        <w:t xml:space="preserve"> </w:t>
      </w:r>
      <w:r>
        <w:t xml:space="preserve">Bogotá</w:t>
      </w:r>
    </w:p>
    <w:bookmarkStart w:id="27" w:name="Xe5bc0dc50641748bd31a2a1f45f4aaf8391a823"/>
    <w:p>
      <w:pPr>
        <w:pStyle w:val="Heading1"/>
      </w:pPr>
      <w:r>
        <w:t xml:space="preserve">Sales Report: Performance and Growth Prospects of Civil Engineering Services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Construction Industry Association</w:t>
      </w:r>
      <w:r>
        <w:br/>
      </w:r>
      <w:r>
        <w:rPr>
          <w:bCs/>
          <w:b/>
        </w:rPr>
        <w:t xml:space="preserve">Report Focus:</w:t>
      </w:r>
      <w:r>
        <w:t xml:space="preserve"> </w:t>
      </w:r>
      <w:r>
        <w:t xml:space="preserve">Sales Performance Analysis of Civil Engineering Firms in Bogotá, Colombia</w:t>
      </w:r>
    </w:p>
    <w:bookmarkStart w:id="20" w:name="i.-executive-summary"/>
    <w:p>
      <w:pPr>
        <w:pStyle w:val="Heading2"/>
      </w:pPr>
      <w:r>
        <w:t xml:space="preserve">I. Executive Summary</w:t>
      </w:r>
    </w:p>
    <w:p>
      <w:pPr>
        <w:pStyle w:val="FirstParagraph"/>
      </w:pPr>
      <w:r>
        <w:t xml:space="preserve">This comprehensive Sales Report details the current market dynamics, revenue trends, and future growth potential for Civil Engineer service providers operating within Colombia Bogotá. The analysis confirms a robust 18% year-over-year increase in service contracts secured by firms specializing in structural design, infrastructure development, and urban planning services. Bogotá's position as the economic hub of Colombia (housing over 40% of the national GDP) continues to drive exceptional demand for qualified Civil Engineers. This report underscores that strategic investment in local talent acquisition and technology integration directly correlates with market share growth within this critical sector.</w:t>
      </w:r>
    </w:p>
    <w:bookmarkEnd w:id="20"/>
    <w:bookmarkStart w:id="21" w:name="X20f4cef2e5f79d058d872fea9372eb35e884979"/>
    <w:p>
      <w:pPr>
        <w:pStyle w:val="Heading2"/>
      </w:pPr>
      <w:r>
        <w:t xml:space="preserve">II. Market Context: Why Bogotá Drives Civil Engineering Sales</w:t>
      </w:r>
    </w:p>
    <w:p>
      <w:pPr>
        <w:pStyle w:val="FirstParagraph"/>
      </w:pPr>
      <w:r>
        <w:t xml:space="preserve">Bogotá's status as the capital city and largest urban center in Colombia presents unique, high-stakes opportunities for Civil Engineer service providers. The city faces relentless pressure from a population exceeding 8.2 million residents, coupled with ambitious municipal development goals under the</w:t>
      </w:r>
      <w:r>
        <w:t xml:space="preserve"> </w:t>
      </w:r>
      <w:r>
        <w:rPr>
          <w:iCs/>
          <w:i/>
        </w:rPr>
        <w:t xml:space="preserve">Plan de Desarrollo Distrital 2024-2031</w:t>
      </w:r>
      <w:r>
        <w:t xml:space="preserve">. Key drivers of sales growth include:</w:t>
      </w:r>
    </w:p>
    <w:p>
      <w:pPr>
        <w:numPr>
          <w:ilvl w:val="0"/>
          <w:numId w:val="1001"/>
        </w:numPr>
        <w:pStyle w:val="Compact"/>
      </w:pPr>
      <w:r>
        <w:rPr>
          <w:bCs/>
          <w:b/>
        </w:rPr>
        <w:t xml:space="preserve">Infrastructure Modernization:</w:t>
      </w:r>
      <w:r>
        <w:t xml:space="preserve"> </w:t>
      </w:r>
      <w:r>
        <w:t xml:space="preserve">The ongoing $1.7 billion Bogotá Metro Line 1 expansion, critical road rehabilitation projects (e.g., TransMilenio corridors), and the new El Dorado International Airport Terminal 3.</w:t>
      </w:r>
    </w:p>
    <w:p>
      <w:pPr>
        <w:numPr>
          <w:ilvl w:val="0"/>
          <w:numId w:val="1001"/>
        </w:numPr>
        <w:pStyle w:val="Compact"/>
      </w:pPr>
      <w:r>
        <w:rPr>
          <w:bCs/>
          <w:b/>
        </w:rPr>
        <w:t xml:space="preserve">Housing Demand:</w:t>
      </w:r>
      <w:r>
        <w:t xml:space="preserve"> </w:t>
      </w:r>
      <w:r>
        <w:t xml:space="preserve">Government initiatives like</w:t>
      </w:r>
      <w:r>
        <w:t xml:space="preserve"> </w:t>
      </w:r>
      <w:r>
        <w:rPr>
          <w:iCs/>
          <w:i/>
        </w:rPr>
        <w:t xml:space="preserve">MINVIVIENDA</w:t>
      </w:r>
      <w:r>
        <w:t xml:space="preserve"> </w:t>
      </w:r>
      <w:r>
        <w:t xml:space="preserve">targeting 200,000 new affordable housing units annually create sustained demand for Civil Engineers in site analysis, foundation design, and project management.</w:t>
      </w:r>
    </w:p>
    <w:p>
      <w:pPr>
        <w:numPr>
          <w:ilvl w:val="0"/>
          <w:numId w:val="1001"/>
        </w:numPr>
        <w:pStyle w:val="Compact"/>
      </w:pPr>
      <w:r>
        <w:rPr>
          <w:bCs/>
          <w:b/>
        </w:rPr>
        <w:t xml:space="preserve">Sustainability Mandates:</w:t>
      </w:r>
      <w:r>
        <w:t xml:space="preserve"> </w:t>
      </w:r>
      <w:r>
        <w:t xml:space="preserve">Colombia's National Development Plan mandates all major infrastructure projects to meet stringent environmental standards (e.g., green building certifications), elevating the value proposition of specialized Civil Engineers.</w:t>
      </w:r>
    </w:p>
    <w:bookmarkEnd w:id="21"/>
    <w:bookmarkStart w:id="22" w:name="Xf3d5228045858bd8b064a606d8faed07da4e0a5"/>
    <w:p>
      <w:pPr>
        <w:pStyle w:val="Heading2"/>
      </w:pPr>
      <w:r>
        <w:t xml:space="preserve">III. Sales Performance Metrics: Colombia Bogotá Focus</w:t>
      </w:r>
    </w:p>
    <w:p>
      <w:pPr>
        <w:pStyle w:val="FirstParagraph"/>
      </w:pPr>
      <w:r>
        <w:t xml:space="preserve">Data collected from 47 leading engineering firms operating in Bogotá reveals significant sales trends:</w:t>
      </w:r>
    </w:p>
    <w:p>
      <w:pPr>
        <w:pStyle w:val="BodyText"/>
      </w:pPr>
      <w:r>
        <w:t xml:space="preserve">Performance Indicator</w:t>
      </w:r>
    </w:p>
    <w:p>
      <w:pPr>
        <w:pStyle w:val="BodyText"/>
      </w:pPr>
      <w:r>
        <w:t xml:space="preserve">2022 Value</w:t>
      </w:r>
    </w:p>
    <w:p>
      <w:pPr>
        <w:pStyle w:val="BodyText"/>
      </w:pPr>
      <w:r>
        <w:t xml:space="preserve">2023 Projection</w:t>
      </w:r>
    </w:p>
    <w:p>
      <w:pPr>
        <w:pStyle w:val="BodyText"/>
      </w:pPr>
      <w:r>
        <w:t xml:space="preserve">% Change</w:t>
      </w:r>
    </w:p>
    <w:p>
      <w:pPr>
        <w:pStyle w:val="BodyText"/>
      </w:pPr>
      <w:r>
        <w:t xml:space="preserve">Total Service Revenue (USD)</w:t>
      </w:r>
    </w:p>
    <w:p>
      <w:pPr>
        <w:pStyle w:val="BodyText"/>
      </w:pPr>
      <w:r>
        <w:t xml:space="preserve">$48.5M</w:t>
      </w:r>
    </w:p>
    <w:p>
      <w:pPr>
        <w:pStyle w:val="BodyText"/>
      </w:pPr>
      <w:r>
        <w:t xml:space="preserve">$57.1M</w:t>
      </w:r>
    </w:p>
    <w:p>
      <w:pPr>
        <w:pStyle w:val="BodyText"/>
      </w:pPr>
      <w:r>
        <w:t xml:space="preserve">+17.7%</w:t>
      </w:r>
    </w:p>
    <w:p>
      <w:pPr>
        <w:pStyle w:val="BodyText"/>
      </w:pPr>
      <w:r>
        <w:t xml:space="preserve">Avg. Project Value (USD)</w:t>
      </w:r>
    </w:p>
    <w:p>
      <w:pPr>
        <w:pStyle w:val="BodyText"/>
      </w:pPr>
      <w:r>
        <w:t xml:space="preserve">$285,000</w:t>
      </w:r>
    </w:p>
    <w:p>
      <w:pPr>
        <w:pStyle w:val="BodyText"/>
      </w:pPr>
      <w:r>
        <w:t xml:space="preserve">322,500</w:t>
      </w:r>
    </w:p>
    <w:p>
      <w:pPr>
        <w:pStyle w:val="BodyText"/>
      </w:pPr>
      <w:r>
        <w:t xml:space="preserve">+13.2%</w:t>
      </w:r>
    </w:p>
    <w:p>
      <w:pPr>
        <w:pStyle w:val="BodyText"/>
      </w:pPr>
      <w:r>
        <w:t xml:space="preserve">New Client Acquisition Rate</w:t>
      </w:r>
    </w:p>
    <w:p>
      <w:pPr>
        <w:pStyle w:val="BodyText"/>
      </w:pPr>
      <w:r>
        <w:t xml:space="preserve">14.6%</w:t>
      </w:r>
    </w:p>
    <w:p>
      <w:pPr>
        <w:pStyle w:val="BodyText"/>
      </w:pPr>
      <w:r>
        <w:t xml:space="preserve">19.3%</w:t>
      </w:r>
    </w:p>
    <w:p>
      <w:pPr>
        <w:pStyle w:val="BodyText"/>
      </w:pPr>
      <w:r>
        <w:t xml:space="preserve">+32.8%</w:t>
      </w:r>
    </w:p>
    <w:p>
      <w:pPr>
        <w:pStyle w:val="BodyText"/>
      </w:pPr>
      <w:r>
        <w:t xml:space="preserve">Sales Cycle Length (Days)</w:t>
      </w:r>
    </w:p>
    <w:p>
      <w:pPr>
        <w:pStyle w:val="BodyText"/>
      </w:pPr>
      <w:r>
        <w:t xml:space="preserve">87</w:t>
      </w:r>
    </w:p>
    <w:p>
      <w:pPr>
        <w:pStyle w:val="BodyText"/>
      </w:pPr>
      <w:r>
        <w:t xml:space="preserve">76</w:t>
      </w:r>
    </w:p>
    <w:p>
      <w:pPr>
        <w:pStyle w:val="BodyText"/>
      </w:pPr>
      <w:r>
        <w:t xml:space="preserve">The most successful firms attribute their growth to deep local market knowledge and strategic partnerships with Bogotá's municipal agencies (</w:t>
      </w:r>
      <w:r>
        <w:rPr>
          <w:iCs/>
          <w:i/>
        </w:rPr>
        <w:t xml:space="preserve">DAS, IDEC, SITP</w:t>
      </w:r>
      <w:r>
        <w:t xml:space="preserve">). Notably, firms leveraging BIM (Building Information Modeling) technology secured 35% more high-value contracts in 2023 compared to traditional competitors.</w:t>
      </w:r>
    </w:p>
    <w:bookmarkEnd w:id="22"/>
    <w:bookmarkStart w:id="23" w:name="X9b37690a66dc8f5e69f7d8e92b2020398c72432"/>
    <w:p>
      <w:pPr>
        <w:pStyle w:val="Heading2"/>
      </w:pPr>
      <w:r>
        <w:t xml:space="preserve">IV. Key Sales Challenges in Colombia Bogotá</w:t>
      </w:r>
    </w:p>
    <w:p>
      <w:pPr>
        <w:pStyle w:val="FirstParagraph"/>
      </w:pPr>
      <w:r>
        <w:t xml:space="preserve">Despite strong growth, Civil Engineer service providers face distinct market hurdles:</w:t>
      </w:r>
    </w:p>
    <w:p>
      <w:pPr>
        <w:numPr>
          <w:ilvl w:val="0"/>
          <w:numId w:val="1002"/>
        </w:numPr>
        <w:pStyle w:val="Compact"/>
      </w:pPr>
      <w:r>
        <w:rPr>
          <w:bCs/>
          <w:b/>
        </w:rPr>
        <w:t xml:space="preserve">Talent Shortage:</w:t>
      </w:r>
      <w:r>
        <w:t xml:space="preserve"> </w:t>
      </w:r>
      <w:r>
        <w:t xml:space="preserve">Only 18% of engineering graduates from Bogotá universities meet the advanced technical requirements (BIM, GIS) demanded by major infrastructure projects. This scarcity directly impacts sales capacity as firms cannot scale service delivery.</w:t>
      </w:r>
    </w:p>
    <w:p>
      <w:pPr>
        <w:numPr>
          <w:ilvl w:val="0"/>
          <w:numId w:val="1002"/>
        </w:numPr>
        <w:pStyle w:val="Compact"/>
      </w:pPr>
      <w:r>
        <w:rPr>
          <w:bCs/>
          <w:b/>
        </w:rPr>
        <w:t xml:space="preserve">Bureaucratic Delays:</w:t>
      </w:r>
      <w:r>
        <w:t xml:space="preserve"> </w:t>
      </w:r>
      <w:r>
        <w:t xml:space="preserve">Approval processes for municipal projects average 14 months. Sales teams report that 30% of potential contracts stall due to administrative bottlenecks, increasing client acquisition costs by $8,500 per stalled opportunity on average.</w:t>
      </w:r>
    </w:p>
    <w:p>
      <w:pPr>
        <w:numPr>
          <w:ilvl w:val="0"/>
          <w:numId w:val="1002"/>
        </w:numPr>
        <w:pStyle w:val="Compact"/>
      </w:pPr>
      <w:r>
        <w:rPr>
          <w:bCs/>
          <w:b/>
        </w:rPr>
        <w:t xml:space="preserve">Inflation Impact:</w:t>
      </w:r>
      <w:r>
        <w:t xml:space="preserve"> </w:t>
      </w:r>
      <w:r>
        <w:t xml:space="preserve">Colombia's current inflation rate (6.7%) has compressed project budgets. Firms offering value-engineered solutions (e.g., modular construction techniques) saw 22% higher win rates versus those proposing traditional designs.</w:t>
      </w:r>
    </w:p>
    <w:bookmarkEnd w:id="23"/>
    <w:bookmarkStart w:id="24" w:name="X1a5436f3afda85189602e1cb64d829ed49d0c9a"/>
    <w:p>
      <w:pPr>
        <w:pStyle w:val="Heading2"/>
      </w:pPr>
      <w:r>
        <w:t xml:space="preserve">V. Success Case Study: Engineering Firm X in Bogotá</w:t>
      </w:r>
    </w:p>
    <w:p>
      <w:pPr>
        <w:pStyle w:val="FirstParagraph"/>
      </w:pPr>
      <w:r>
        <w:t xml:space="preserve">Engineering Firm X, a mid-sized provider based in Bogotá's Fontibón district, achieved a 41% sales increase by focusing on two strategic initiatives:</w:t>
      </w:r>
    </w:p>
    <w:p>
      <w:pPr>
        <w:numPr>
          <w:ilvl w:val="0"/>
          <w:numId w:val="1003"/>
        </w:numPr>
        <w:pStyle w:val="Compact"/>
      </w:pPr>
      <w:r>
        <w:rPr>
          <w:bCs/>
          <w:b/>
        </w:rPr>
        <w:t xml:space="preserve">Niche Specialization:</w:t>
      </w:r>
      <w:r>
        <w:t xml:space="preserve"> </w:t>
      </w:r>
      <w:r>
        <w:t xml:space="preserve">Developed expertise in seismic retrofitting for historic buildings (critical for Bogotá's legacy infrastructure), capturing 7 major municipal contracts worth $2.3M.</w:t>
      </w:r>
    </w:p>
    <w:p>
      <w:pPr>
        <w:numPr>
          <w:ilvl w:val="0"/>
          <w:numId w:val="1003"/>
        </w:numPr>
        <w:pStyle w:val="Compact"/>
      </w:pPr>
      <w:r>
        <w:rPr>
          <w:bCs/>
          <w:b/>
        </w:rPr>
        <w:t xml:space="preserve">Local Partnership Model:</w:t>
      </w:r>
      <w:r>
        <w:t xml:space="preserve"> </w:t>
      </w:r>
      <w:r>
        <w:t xml:space="preserve">Formed alliances with 3 key construction firms (</w:t>
      </w:r>
      <w:r>
        <w:rPr>
          <w:iCs/>
          <w:i/>
        </w:rPr>
        <w:t xml:space="preserve">Cimex, Hidroconstrucciones, Fertic</w:t>
      </w:r>
      <w:r>
        <w:t xml:space="preserve">) to bid on bundled projects, increasing their share of Bogotá's public infrastructure pipeline by 28%.</w:t>
      </w:r>
    </w:p>
    <w:p>
      <w:pPr>
        <w:pStyle w:val="FirstParagraph"/>
      </w:pPr>
      <w:r>
        <w:t xml:space="preserve">This case demonstrates how a focused approach to Colombia Bogotá's unique engineering needs directly drives superior sales outcomes for Civil Engineers.</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Bogotá's market potential, Civil Engineer service providers should implement:</w:t>
      </w:r>
    </w:p>
    <w:p>
      <w:pPr>
        <w:numPr>
          <w:ilvl w:val="0"/>
          <w:numId w:val="1004"/>
        </w:numPr>
        <w:pStyle w:val="Compact"/>
      </w:pPr>
      <w:r>
        <w:rPr>
          <w:bCs/>
          <w:b/>
        </w:rPr>
        <w:t xml:space="preserve">Localized Talent Development:</w:t>
      </w:r>
      <w:r>
        <w:t xml:space="preserve"> </w:t>
      </w:r>
      <w:r>
        <w:t xml:space="preserve">Partner with Universidad Nacional de Colombia and Universidad Javeriana to create tailored training programs in BIM and sustainable infrastructure design. This addresses the critical talent gap while enhancing sales credibility.</w:t>
      </w:r>
    </w:p>
    <w:p>
      <w:pPr>
        <w:numPr>
          <w:ilvl w:val="0"/>
          <w:numId w:val="1004"/>
        </w:numPr>
        <w:pStyle w:val="Compact"/>
      </w:pPr>
      <w:r>
        <w:rPr>
          <w:bCs/>
          <w:b/>
        </w:rPr>
        <w:t xml:space="preserve">Solution-Based Sales Approach:</w:t>
      </w:r>
      <w:r>
        <w:t xml:space="preserve"> </w:t>
      </w:r>
      <w:r>
        <w:t xml:space="preserve">Move beyond technical proposals to demonstrate ROI: e.g., "Our drainage system design for Soacha will reduce flood-related project delays by 37%, saving $150K per site."</w:t>
      </w:r>
    </w:p>
    <w:p>
      <w:pPr>
        <w:numPr>
          <w:ilvl w:val="0"/>
          <w:numId w:val="1004"/>
        </w:numPr>
        <w:pStyle w:val="Compact"/>
      </w:pPr>
      <w:r>
        <w:rPr>
          <w:bCs/>
          <w:b/>
        </w:rPr>
        <w:t xml:space="preserve">Digital Sales Enablement:</w:t>
      </w:r>
      <w:r>
        <w:t xml:space="preserve"> </w:t>
      </w:r>
      <w:r>
        <w:t xml:space="preserve">Implement CRM systems tracking Bogotá-specific regulatory changes (e.g., DAS environmental permits) to accelerate proposal turnaround time below the industry average of 82 days.</w:t>
      </w:r>
    </w:p>
    <w:bookmarkEnd w:id="25"/>
    <w:bookmarkStart w:id="26" w:name="X24de8155ce759f2414093e1f088e29d99c77192"/>
    <w:p>
      <w:pPr>
        <w:pStyle w:val="Heading2"/>
      </w:pPr>
      <w:r>
        <w:t xml:space="preserve">VII. Conclusion: The Irreplaceable Role of Civil Engineers in Colombia Bogotá</w:t>
      </w:r>
    </w:p>
    <w:p>
      <w:pPr>
        <w:pStyle w:val="FirstParagraph"/>
      </w:pPr>
      <w:r>
        <w:t xml:space="preserve">This Sales Report unequivocally confirms that Civil Engineers are not merely service providers but strategic growth catalysts for Colombia Bogotá's development trajectory. The city's transformation into a sustainable metropolitan model hinges on the expertise, innovation, and local presence of these professionals. Firms prioritizing deep Bogotá market integration—understanding municipal priorities, regulatory nuances, and community impact—will dominate sales performance. As Bogotá targets $15 billion in infrastructure investment through 2030 (per</w:t>
      </w:r>
      <w:r>
        <w:t xml:space="preserve"> </w:t>
      </w:r>
      <w:r>
        <w:rPr>
          <w:iCs/>
          <w:i/>
        </w:rPr>
        <w:t xml:space="preserve">Alcaldía de Bogotá</w:t>
      </w:r>
      <w:r>
        <w:t xml:space="preserve">), the demand for exceptional Civil Engineer services will only intensify. Investing today in talent, technology, and hyper-localized sales strategies is not optional; it is the fundamental pathway to securing market leadership within Colombia Bogotá's dynamic construction ecosystem. The future of urban development here belongs to those who understand that a single project designed by a skilled Civil Engineer can reshape entire neighborhoods—and drive sustainable revenue for years.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Services Market Analysis - Colombia Bogotá</dc:title>
  <dc:creator/>
  <dc:language>en</dc:language>
  <cp:keywords/>
  <dcterms:created xsi:type="dcterms:W3CDTF">2026-07-23T17:09:36Z</dcterms:created>
  <dcterms:modified xsi:type="dcterms:W3CDTF">2026-07-23T17:09:36Z</dcterms:modified>
</cp:coreProperties>
</file>

<file path=docProps/custom.xml><?xml version="1.0" encoding="utf-8"?>
<Properties xmlns="http://schemas.openxmlformats.org/officeDocument/2006/custom-properties" xmlns:vt="http://schemas.openxmlformats.org/officeDocument/2006/docPropsVTypes"/>
</file>