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Medellín</w:t>
      </w:r>
      <w:r>
        <w:t xml:space="preserve"> </w:t>
      </w:r>
      <w:r>
        <w:t xml:space="preserve">Market</w:t>
      </w:r>
    </w:p>
    <w:bookmarkStart w:id="29" w:name="X3325be4fa9b0ec51b5b1bde4b7a214cb0f93fb8"/>
    <w:p>
      <w:pPr>
        <w:pStyle w:val="Heading1"/>
      </w:pPr>
      <w:r>
        <w:t xml:space="preserve">ANNUAL SALES REPORT: CIVIL ENGINEERING SERVICES PERFORMANCE IN MEDELLÍN, COLOMBIA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Colombia Operations</w:t>
      </w:r>
      <w:r>
        <w:br/>
      </w:r>
      <w:r>
        <w:rPr>
          <w:bCs/>
          <w:b/>
        </w:rPr>
        <w:t xml:space="preserve">Prepared By:</w:t>
      </w:r>
      <w:r>
        <w:t xml:space="preserve"> </w:t>
      </w:r>
      <w:r>
        <w:t xml:space="preserve">Engineering Sales Department</w:t>
      </w:r>
    </w:p>
    <w:bookmarkStart w:id="20" w:name="i.-executive-summary"/>
    <w:p>
      <w:pPr>
        <w:pStyle w:val="Heading2"/>
      </w:pPr>
      <w:r>
        <w:t xml:space="preserve">I. Executive Summary</w:t>
      </w:r>
    </w:p>
    <w:p>
      <w:pPr>
        <w:pStyle w:val="FirstParagraph"/>
      </w:pPr>
      <w:r>
        <w:t xml:space="preserve">This report details the sales performance of civil engineering services across Medellín, Colombia, during the fiscal year 2023. As Colombia's second-largest metropolitan area and a critical hub for infrastructure development in Latin America, Medellín represents a strategic market for civil engineering solutions. The Sales Report demonstrates a 23% year-over-year growth in contracted projects, with total revenue reaching COP 895 billion (USD $217 million) – surpassing our regional targets by 17%. This success is directly attributable to the expertise of our Civil Engineers who have successfully navigated Medellín's unique urban challenges, including seismic activity, hillside development constraints, and municipal sustainability initiatives. The robust performance positions us as the preferred civil engineering partner for Medellín's transformative public works agenda.</w:t>
      </w:r>
    </w:p>
    <w:bookmarkEnd w:id="20"/>
    <w:bookmarkStart w:id="21" w:name="Xcb4233e046ae9d6794c06b5252449c523143cae"/>
    <w:p>
      <w:pPr>
        <w:pStyle w:val="Heading2"/>
      </w:pPr>
      <w:r>
        <w:t xml:space="preserve">II. Market Context: Colombia Medellín Infrastructure Landscape</w:t>
      </w:r>
    </w:p>
    <w:p>
      <w:pPr>
        <w:pStyle w:val="FirstParagraph"/>
      </w:pPr>
      <w:r>
        <w:t xml:space="preserve">Medellín's current infrastructure boom, driven by the "Medellín 2030" municipal plan and national initiatives like the National Infrastructure Plan (PNI), creates unprecedented opportunities for Civil Engineers. With over 74% of Colombia's engineering firms headquartered in Medellín, our local team leverages deep market knowledge to align services with: (1) The city's $5.8 billion metro expansion project, (2) The "Social Urbanism" program revitalizing 30+ informal settlements, and (3) Critical highway rehabilitation along the Medellín-Bogotá corridor. Our Sales Report identifies these three sectors as generating 68% of our recent pipeline growth, requiring Civil Engineers with specialized experience in landslide mitigation – a critical concern given Medellín's topography.</w:t>
      </w:r>
    </w:p>
    <w:bookmarkEnd w:id="21"/>
    <w:bookmarkStart w:id="22" w:name="iii.-key-sales-performance-metrics-2023"/>
    <w:p>
      <w:pPr>
        <w:pStyle w:val="Heading2"/>
      </w:pPr>
      <w:r>
        <w:t xml:space="preserve">III. Key Sales Performance Metrics (2023)</w:t>
      </w:r>
    </w:p>
    <w:p>
      <w:pPr>
        <w:pStyle w:val="FirstParagraph"/>
      </w:pPr>
      <w:r>
        <w:t xml:space="preserve">Quarter</w:t>
      </w:r>
    </w:p>
    <w:p>
      <w:pPr>
        <w:pStyle w:val="BodyText"/>
      </w:pPr>
      <w:r>
        <w:t xml:space="preserve">Total Projects Closed</w:t>
      </w:r>
    </w:p>
    <w:p>
      <w:pPr>
        <w:pStyle w:val="BodyText"/>
      </w:pPr>
      <w:r>
        <w:t xml:space="preserve">Avg. Contract Value (COP)</w:t>
      </w:r>
    </w:p>
    <w:p>
      <w:pPr>
        <w:pStyle w:val="BodyText"/>
      </w:pPr>
      <w:r>
        <w:t xml:space="preserve">Client Retention Rate</w:t>
      </w:r>
    </w:p>
    <w:p>
      <w:pPr>
        <w:pStyle w:val="BodyText"/>
      </w:pPr>
      <w:r>
        <w:t xml:space="preserve">Q1 2023</w:t>
      </w:r>
    </w:p>
    <w:p>
      <w:pPr>
        <w:pStyle w:val="BodyText"/>
      </w:pPr>
      <w:r>
        <w:t xml:space="preserve">14</w:t>
      </w:r>
    </w:p>
    <w:p>
      <w:pPr>
        <w:pStyle w:val="BodyText"/>
      </w:pPr>
      <w:r>
        <w:t xml:space="preserve">98 billion</w:t>
      </w:r>
    </w:p>
    <w:p>
      <w:pPr>
        <w:pStyle w:val="BodyText"/>
      </w:pPr>
      <w:r>
        <w:t xml:space="preserve">82%</w:t>
      </w:r>
    </w:p>
    <w:p>
      <w:pPr>
        <w:pStyle w:val="BodyText"/>
      </w:pPr>
      <w:r>
        <w:t xml:space="preserve">Q2 2023</w:t>
      </w:r>
    </w:p>
    <w:p>
      <w:pPr>
        <w:pStyle w:val="BodyText"/>
      </w:pPr>
      <w:r>
        <w:t xml:space="preserve">17</w:t>
      </w:r>
    </w:p>
    <w:p>
      <w:pPr>
        <w:pStyle w:val="BodyText"/>
      </w:pPr>
      <w:r>
        <w:t xml:space="preserve">Key Clients Secured in Medellín (Q3-Q4)</w:t>
      </w:r>
    </w:p>
    <w:p>
      <w:pPr>
        <w:pStyle w:val="BodyText"/>
      </w:pPr>
      <w:r>
        <w:t xml:space="preserve">- Medellín City Council: $85M for Metro Line 5 Design (Civil Engineer-led seismic analysis)</w:t>
      </w:r>
    </w:p>
    <w:p>
      <w:pPr>
        <w:pStyle w:val="BodyText"/>
      </w:pPr>
      <w:r>
        <w:t xml:space="preserve">- COTECMAR: $120M for Río Medellín Flood Control System</w:t>
      </w:r>
    </w:p>
    <w:p>
      <w:pPr>
        <w:pStyle w:val="BodyText"/>
      </w:pPr>
      <w:r>
        <w:t xml:space="preserve">- EPM Group: $42M for Smart Grid Infrastructure Integration</w:t>
      </w:r>
    </w:p>
    <w:bookmarkEnd w:id="22"/>
    <w:bookmarkStart w:id="23" w:name="X1ef6f122e75db37cab5e72acdea9d00f17efffa"/>
    <w:p>
      <w:pPr>
        <w:pStyle w:val="Heading2"/>
      </w:pPr>
      <w:r>
        <w:t xml:space="preserve">IV. Civil Engineer Impact on Sales Success</w:t>
      </w:r>
    </w:p>
    <w:p>
      <w:pPr>
        <w:pStyle w:val="FirstParagraph"/>
      </w:pPr>
      <w:r>
        <w:t xml:space="preserve">The Sales Report underscores that our Civil Engineers are not merely technical resources but strategic sales assets. In Medellín's competitive market, their ability to: (1) Translate complex engineering challenges into client-ready solutions, (2) Navigate Colombia's regulatory framework through local partnerships with the Colombian Association of Civil Engineers (ACIC), and (3) Deliver on-site feasibility studies within 72 hours – directly influenced 89% of contract awards. For example, our lead Civil Engineer for the Río Medellín project identified a critical soil composition issue during initial site assessment that saved clients COP 14 billion in potential redesign costs, turning a technical concern into a key selling point.</w:t>
      </w:r>
    </w:p>
    <w:bookmarkEnd w:id="23"/>
    <w:bookmarkStart w:id="24" w:name="X5511f1bcbeed6c319a22fe76a5fe4e6512e6e24"/>
    <w:p>
      <w:pPr>
        <w:pStyle w:val="Heading2"/>
      </w:pPr>
      <w:r>
        <w:t xml:space="preserve">V. Colombia Medellín Specific Challenges &amp; Solutions</w:t>
      </w:r>
    </w:p>
    <w:p>
      <w:pPr>
        <w:pStyle w:val="FirstParagraph"/>
      </w:pPr>
      <w:r>
        <w:t xml:space="preserve">Our Sales Report highlights how Civil Engineers addressed market-specific barriers:</w:t>
      </w:r>
    </w:p>
    <w:p>
      <w:pPr>
        <w:numPr>
          <w:ilvl w:val="0"/>
          <w:numId w:val="1001"/>
        </w:numPr>
        <w:pStyle w:val="Compact"/>
      </w:pPr>
      <w:r>
        <w:rPr>
          <w:bCs/>
          <w:b/>
        </w:rPr>
        <w:t xml:space="preserve">Regulatory Complexity:</w:t>
      </w:r>
      <w:r>
        <w:t xml:space="preserve"> </w:t>
      </w:r>
      <w:r>
        <w:t xml:space="preserve">37% of sales delays stemmed from municipal permit requirements. Our Civil Engineers partnered with local legal teams to develop "Compliance Pathways" for common projects, reducing approval timelines by 40%.</w:t>
      </w:r>
    </w:p>
    <w:p>
      <w:pPr>
        <w:numPr>
          <w:ilvl w:val="0"/>
          <w:numId w:val="1001"/>
        </w:numPr>
        <w:pStyle w:val="Compact"/>
      </w:pPr>
      <w:r>
        <w:rPr>
          <w:bCs/>
          <w:b/>
        </w:rPr>
        <w:t xml:space="preserve">Community Engagement:</w:t>
      </w:r>
      <w:r>
        <w:t xml:space="preserve"> </w:t>
      </w:r>
      <w:r>
        <w:t xml:space="preserve">Medellín's urban renewal projects require extensive stakeholder consultations. Civil Engineers trained in community relations (through partnerships with University of Antioquia) facilitated 12+ successful public hearings, turning potential opposition into project support.</w:t>
      </w:r>
    </w:p>
    <w:p>
      <w:pPr>
        <w:numPr>
          <w:ilvl w:val="0"/>
          <w:numId w:val="1001"/>
        </w:numPr>
        <w:pStyle w:val="Compact"/>
      </w:pPr>
      <w:r>
        <w:rPr>
          <w:bCs/>
          <w:b/>
        </w:rPr>
        <w:t xml:space="preserve">Sustainability Mandates:</w:t>
      </w:r>
      <w:r>
        <w:t xml:space="preserve"> </w:t>
      </w:r>
      <w:r>
        <w:t xml:space="preserve">The city's new "Green Code" demands 30% lower carbon footprints. Our Civil Engineers integrated recycled materials and low-impact construction techniques into 92% of projects, aligning with municipal incentives that increased contract values by 15%.</w:t>
      </w:r>
    </w:p>
    <w:bookmarkEnd w:id="24"/>
    <w:bookmarkStart w:id="25" w:name="vi.-competitive-landscape-analysis"/>
    <w:p>
      <w:pPr>
        <w:pStyle w:val="Heading2"/>
      </w:pPr>
      <w:r>
        <w:t xml:space="preserve">VI. Competitive Landscape Analysis</w:t>
      </w:r>
    </w:p>
    <w:p>
      <w:pPr>
        <w:pStyle w:val="FirstParagraph"/>
      </w:pPr>
      <w:r>
        <w:t xml:space="preserve">Colombia Medellín's engineering market features intense competition from regional firms like IDOM and local players such as Proyectos Civiles S.A. Our Sales Report reveals differentiation through Civil Engineers' technical innovation:</w:t>
      </w:r>
    </w:p>
    <w:p>
      <w:pPr>
        <w:numPr>
          <w:ilvl w:val="0"/>
          <w:numId w:val="1002"/>
        </w:numPr>
        <w:pStyle w:val="Compact"/>
      </w:pPr>
      <w:r>
        <w:t xml:space="preserve">National benchmark: 63% of our proposals included drone surveying (vs. industry avg. 29%), reducing site assessment costs by 31% for clients.</w:t>
      </w:r>
    </w:p>
    <w:p>
      <w:pPr>
        <w:numPr>
          <w:ilvl w:val="0"/>
          <w:numId w:val="1002"/>
        </w:numPr>
        <w:pStyle w:val="Compact"/>
      </w:pPr>
      <w:r>
        <w:t xml:space="preserve">Medellín-specific technology: Custom landslide prediction algorithms developed by our local Civil Engineers were pivotal in winning the Río Medellín contract over competitors who relied on generic models.</w:t>
      </w:r>
    </w:p>
    <w:p>
      <w:pPr>
        <w:numPr>
          <w:ilvl w:val="0"/>
          <w:numId w:val="1002"/>
        </w:numPr>
        <w:pStyle w:val="Compact"/>
      </w:pPr>
      <w:r>
        <w:t xml:space="preserve">Post-contract service: 24/7 technical support via Colombia's national engineering network, a differentiator cited in 91% of client satisfaction surveys.</w:t>
      </w:r>
    </w:p>
    <w:bookmarkEnd w:id="25"/>
    <w:bookmarkStart w:id="26" w:name="vii.-strategic-recommendations-for-2024"/>
    <w:p>
      <w:pPr>
        <w:pStyle w:val="Heading2"/>
      </w:pPr>
      <w:r>
        <w:t xml:space="preserve">VII. Strategic Recommendations for 2024</w:t>
      </w:r>
    </w:p>
    <w:p>
      <w:pPr>
        <w:pStyle w:val="FirstParagraph"/>
      </w:pPr>
      <w:r>
        <w:t xml:space="preserve">Based on this Sales Report, we propose:</w:t>
      </w:r>
    </w:p>
    <w:p>
      <w:pPr>
        <w:numPr>
          <w:ilvl w:val="0"/>
          <w:numId w:val="1003"/>
        </w:numPr>
        <w:pStyle w:val="Compact"/>
      </w:pPr>
      <w:r>
        <w:rPr>
          <w:bCs/>
          <w:b/>
        </w:rPr>
        <w:t xml:space="preserve">Expand Civil Engineer Training:</w:t>
      </w:r>
      <w:r>
        <w:t xml:space="preserve"> </w:t>
      </w:r>
      <w:r>
        <w:t xml:space="preserve">Allocate COP 35 billion to certify all Medellín-based Civil Engineers in Colombia's new "Urban Resilience Standards," targeting 100% certification by Q2 2024.</w:t>
      </w:r>
    </w:p>
    <w:p>
      <w:pPr>
        <w:numPr>
          <w:ilvl w:val="0"/>
          <w:numId w:val="1003"/>
        </w:numPr>
        <w:pStyle w:val="Compact"/>
      </w:pPr>
      <w:r>
        <w:rPr>
          <w:bCs/>
          <w:b/>
        </w:rPr>
        <w:t xml:space="preserve">Leverage Municipal Partnerships:</w:t>
      </w:r>
      <w:r>
        <w:t xml:space="preserve"> </w:t>
      </w:r>
      <w:r>
        <w:t xml:space="preserve">Formalize joint ventures with Medellín's Office of Infrastructure Development (OIDE) to co-create next-generation project frameworks, estimated to unlock $385M in pipeline opportunities.</w:t>
      </w:r>
    </w:p>
    <w:p>
      <w:pPr>
        <w:numPr>
          <w:ilvl w:val="0"/>
          <w:numId w:val="1003"/>
        </w:numPr>
        <w:pStyle w:val="Compact"/>
      </w:pPr>
      <w:r>
        <w:rPr>
          <w:bCs/>
          <w:b/>
        </w:rPr>
        <w:t xml:space="preserve">Specialized Sales Team:</w:t>
      </w:r>
      <w:r>
        <w:t xml:space="preserve"> </w:t>
      </w:r>
      <w:r>
        <w:t xml:space="preserve">Create dedicated Civil Engineer-Sales roles for the "Social Urbanism" program, where 42% of current sales are concentrated but currently handled by generalist staff.</w:t>
      </w:r>
    </w:p>
    <w:bookmarkEnd w:id="26"/>
    <w:bookmarkStart w:id="28" w:name="viii.-conclusion"/>
    <w:p>
      <w:pPr>
        <w:pStyle w:val="Heading2"/>
      </w:pPr>
      <w:r>
        <w:t xml:space="preserve">VIII. Conclusion</w:t>
      </w:r>
    </w:p>
    <w:p>
      <w:pPr>
        <w:pStyle w:val="FirstParagraph"/>
      </w:pPr>
      <w:r>
        <w:t xml:space="preserve">The Sales Report confirms that Medellín's civil engineering market is not merely a revenue source but the cornerstone of our Colombia operations. Our Civil Engineers have proven instrumental in converting complex municipal challenges into profitable, sustainable projects – directly supporting Medellín's vision as a global model for equitable urban development. The 23% growth rate outpaces Colombia's national engineering sector average (15%) and positions us to capture 28% of Medellín's $4.2 billion annual civil engineering service market by 2025. As Colombia continues prioritizing infrastructure investment, our strategic focus on deploying highly specialized Civil Engineers in Medellín will remain the engine driving sales success across all project scales – from metro systems to community-level water management initiatives.</w:t>
      </w:r>
    </w:p>
    <w:bookmarkStart w:id="27" w:name="appendix-key-performance-indicators"/>
    <w:p>
      <w:pPr>
        <w:pStyle w:val="Heading3"/>
      </w:pPr>
      <w:r>
        <w:t xml:space="preserve">APPENDIX: KEY PERFORMANCE INDICATORS</w:t>
      </w:r>
    </w:p>
    <w:p>
      <w:pPr>
        <w:numPr>
          <w:ilvl w:val="0"/>
          <w:numId w:val="1004"/>
        </w:numPr>
        <w:pStyle w:val="Compact"/>
      </w:pPr>
      <w:r>
        <w:rPr>
          <w:bCs/>
          <w:b/>
        </w:rPr>
        <w:t xml:space="preserve">Client Acquisition Cost:</w:t>
      </w:r>
      <w:r>
        <w:t xml:space="preserve"> </w:t>
      </w:r>
      <w:r>
        <w:t xml:space="preserve">COP 18.7 million (vs. regional avg. COP 24.5M)</w:t>
      </w:r>
    </w:p>
    <w:p>
      <w:pPr>
        <w:numPr>
          <w:ilvl w:val="0"/>
          <w:numId w:val="1004"/>
        </w:numPr>
        <w:pStyle w:val="Compact"/>
      </w:pPr>
      <w:r>
        <w:rPr>
          <w:bCs/>
          <w:b/>
        </w:rPr>
        <w:t xml:space="preserve">Civil Engineer Utilization Rate:</w:t>
      </w:r>
      <w:r>
        <w:t xml:space="preserve"> </w:t>
      </w:r>
      <w:r>
        <w:t xml:space="preserve">92% (exceeding target of 85%)</w:t>
      </w:r>
    </w:p>
    <w:p>
      <w:pPr>
        <w:numPr>
          <w:ilvl w:val="0"/>
          <w:numId w:val="1004"/>
        </w:numPr>
        <w:pStyle w:val="Compact"/>
      </w:pPr>
      <w:r>
        <w:rPr>
          <w:bCs/>
          <w:b/>
        </w:rPr>
        <w:t xml:space="preserve">Municipal Project Win Rate:</w:t>
      </w:r>
      <w:r>
        <w:t xml:space="preserve"> </w:t>
      </w:r>
      <w:r>
        <w:t xml:space="preserve">76% (vs. industry average: 61%)</w:t>
      </w:r>
    </w:p>
    <w:p>
      <w:pPr>
        <w:numPr>
          <w:ilvl w:val="0"/>
          <w:numId w:val="1004"/>
        </w:numPr>
        <w:pStyle w:val="Compact"/>
      </w:pPr>
      <w:r>
        <w:rPr>
          <w:bCs/>
          <w:b/>
        </w:rPr>
        <w:t xml:space="preserve">Sustainability Compliance Score:</w:t>
      </w:r>
      <w:r>
        <w:t xml:space="preserve"> </w:t>
      </w:r>
      <w:r>
        <w:t xml:space="preserve">9.3/10 (Medellín's benchmark: 8.0)</w:t>
      </w:r>
    </w:p>
    <w:p>
      <w:pPr>
        <w:pStyle w:val="FirstParagraph"/>
      </w:pPr>
      <w:r>
        <w:rPr>
          <w:iCs/>
          <w:i/>
        </w:rPr>
        <w:t xml:space="preserve">"In Medellín, engineering isn't just about structures – it's about building communities. Our Civil Engineers understand this, and our Sales Report proves it translates directly to market leadership."</w:t>
      </w:r>
      <w:r>
        <w:t xml:space="preserve"> </w:t>
      </w:r>
      <w:r>
        <w:t xml:space="preserve">– Ana María Velásquez, Director of Sales Operations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Sales Performance Report: Medellín Market</dc:title>
  <dc:creator/>
  <dc:language>en</dc:language>
  <cp:keywords/>
  <dcterms:created xsi:type="dcterms:W3CDTF">2026-07-23T20:11:54Z</dcterms:created>
  <dcterms:modified xsi:type="dcterms:W3CDTF">2026-07-23T20:11:54Z</dcterms:modified>
</cp:coreProperties>
</file>

<file path=docProps/custom.xml><?xml version="1.0" encoding="utf-8"?>
<Properties xmlns="http://schemas.openxmlformats.org/officeDocument/2006/custom-properties" xmlns:vt="http://schemas.openxmlformats.org/officeDocument/2006/docPropsVTypes"/>
</file>