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Frankfurt,</w:t>
      </w:r>
      <w:r>
        <w:t xml:space="preserve"> </w:t>
      </w:r>
      <w:r>
        <w:t xml:space="preserve">Germany</w:t>
      </w:r>
    </w:p>
    <w:bookmarkStart w:id="27" w:name="Xa258f4d6e7fddb9c0df2d54a68958a6c478c843"/>
    <w:p>
      <w:pPr>
        <w:pStyle w:val="Heading1"/>
      </w:pPr>
      <w:r>
        <w:t xml:space="preserve">Sales Report: Civil Engineering Services Market Performance &amp; Strategic Outlook for Frankfurt, Germany</w:t>
      </w:r>
    </w:p>
    <w:bookmarkStart w:id="20" w:name="executive-summary"/>
    <w:p>
      <w:pPr>
        <w:pStyle w:val="Heading2"/>
      </w:pPr>
      <w:r>
        <w:t xml:space="preserve">Executive Summary</w:t>
      </w:r>
    </w:p>
    <w:p>
      <w:pPr>
        <w:pStyle w:val="FirstParagraph"/>
      </w:pPr>
      <w:r>
        <w:t xml:space="preserve">This comprehensive Sales Report details the current market dynamics, performance metrics, and strategic opportunities for civil engineering services within Frankfurt am Main, Germany. As Europe's premier financial hub and a rapidly expanding metropolitan center with over 750,000 inhabitants, Frankfurt presents a uniquely robust environment for civil engineering firms to deliver critical infrastructure solutions. The report confirms that demand for specialized Civil Engineer expertise remains exceptionally strong across transportation networks, commercial real estate development, and sustainable urban renewal projects. Key findings indicate a 12% year-over-year growth in service contracts since Q1 2023, driven by Frankfurt's ambitious "City Strategy 2035" initiatives and significant public-private investment commitments. This document serves as a strategic roadmap for engineering firms seeking to maximize their sales potential in this high-value German market.</w:t>
      </w:r>
    </w:p>
    <w:bookmarkEnd w:id="20"/>
    <w:bookmarkStart w:id="21" w:name="X229bedf9c38dac7f8fc8df2043158015916047b"/>
    <w:p>
      <w:pPr>
        <w:pStyle w:val="Heading2"/>
      </w:pPr>
      <w:r>
        <w:t xml:space="preserve">Market Context: Why Frankfurt? (Germany's Infrastructure Epicenter)</w:t>
      </w:r>
    </w:p>
    <w:p>
      <w:pPr>
        <w:pStyle w:val="FirstParagraph"/>
      </w:pPr>
      <w:r>
        <w:t xml:space="preserve">Frankfurt, Germany's economic nerve center, is experiencing unprecedented infrastructure demand. As the headquarters location for Deutsche Bundesbank, the European Central Bank (ECB), and over 150 global financial institutions, the city requires continuous modernization of its built environment to support commercial density and population growth. The Frankfurt City Council’s "Integrated Urban Development Plan" allocates €8.2 billion for infrastructure through 2030, directly creating a sustained pipeline of civil engineering projects. Critical sectors driving this demand include:</w:t>
      </w:r>
    </w:p>
    <w:p>
      <w:pPr>
        <w:numPr>
          <w:ilvl w:val="0"/>
          <w:numId w:val="1001"/>
        </w:numPr>
        <w:pStyle w:val="Compact"/>
      </w:pPr>
      <w:r>
        <w:rPr>
          <w:bCs/>
          <w:b/>
        </w:rPr>
        <w:t xml:space="preserve">Transportation Networks:</w:t>
      </w:r>
      <w:r>
        <w:t xml:space="preserve"> </w:t>
      </w:r>
      <w:r>
        <w:t xml:space="preserve">Expansion of the Frankfurt U-Bahn (subway) system (e.g., new Line U6 extension), modernization of Frankfurt Hauptbahnhof (main train station), and the ongoing construction of the "Main-Tauber-Cycle Path" linking to national networks.</w:t>
      </w:r>
    </w:p>
    <w:p>
      <w:pPr>
        <w:numPr>
          <w:ilvl w:val="0"/>
          <w:numId w:val="1001"/>
        </w:numPr>
        <w:pStyle w:val="Compact"/>
      </w:pPr>
      <w:r>
        <w:rPr>
          <w:bCs/>
          <w:b/>
        </w:rPr>
        <w:t xml:space="preserve">Sustainable Development:</w:t>
      </w:r>
      <w:r>
        <w:t xml:space="preserve"> </w:t>
      </w:r>
      <w:r>
        <w:t xml:space="preserve">Mandates for energy-efficient building standards (DIN 18599) and climate-resilient infrastructure, such as flood mitigation systems along the Main River and green roof integration in new commercial districts like "City Nord."</w:t>
      </w:r>
    </w:p>
    <w:p>
      <w:pPr>
        <w:numPr>
          <w:ilvl w:val="0"/>
          <w:numId w:val="1001"/>
        </w:numPr>
        <w:pStyle w:val="Compact"/>
      </w:pPr>
      <w:r>
        <w:rPr>
          <w:bCs/>
          <w:b/>
        </w:rPr>
        <w:t xml:space="preserve">Commercial Real Estate:</w:t>
      </w:r>
      <w:r>
        <w:t xml:space="preserve"> </w:t>
      </w:r>
      <w:r>
        <w:t xml:space="preserve">High-profile mixed-use developments (e.g., "The Palm" tower complex near Rödelheim) requiring expert civil engineering for foundation stability on Frankfurt's unique soil composition.</w:t>
      </w:r>
    </w:p>
    <w:bookmarkEnd w:id="21"/>
    <w:bookmarkStart w:id="22" w:name="X934ae40eb2e197f1eb8ad3f46edf74898f2704a"/>
    <w:p>
      <w:pPr>
        <w:pStyle w:val="Heading2"/>
      </w:pPr>
      <w:r>
        <w:t xml:space="preserve">Sales Performance Analysis: Civil Engineering Service Demand</w:t>
      </w:r>
    </w:p>
    <w:p>
      <w:pPr>
        <w:pStyle w:val="FirstParagraph"/>
      </w:pPr>
      <w:r>
        <w:t xml:space="preserve">Our analysis of 18 leading engineering firms operating in Germany confirms Frankfurt’s market leadership. Key sales metrics reveal:</w:t>
      </w:r>
    </w:p>
    <w:p>
      <w:pPr>
        <w:pStyle w:val="BodyText"/>
      </w:pPr>
      <w:r>
        <w:t xml:space="preserve">Service Category</w:t>
      </w:r>
    </w:p>
    <w:p>
      <w:pPr>
        <w:pStyle w:val="BodyText"/>
      </w:pPr>
      <w:r>
        <w:t xml:space="preserve">2023 Sales Volume (€)</w:t>
      </w:r>
    </w:p>
    <w:p>
      <w:pPr>
        <w:pStyle w:val="BodyText"/>
      </w:pPr>
      <w:r>
        <w:t xml:space="preserve">Growth vs. 2022</w:t>
      </w:r>
    </w:p>
    <w:p>
      <w:pPr>
        <w:pStyle w:val="BodyText"/>
      </w:pPr>
      <w:r>
        <w:t xml:space="preserve">Key Frankfurt Projects Driving Demand</w:t>
      </w:r>
    </w:p>
    <w:p>
      <w:pPr>
        <w:pStyle w:val="BodyText"/>
      </w:pPr>
      <w:r>
        <w:t xml:space="preserve">Structural Engineering</w:t>
      </w:r>
    </w:p>
    <w:p>
      <w:pPr>
        <w:pStyle w:val="BodyText"/>
      </w:pPr>
      <w:r>
        <w:t xml:space="preserve">€14.7M</w:t>
      </w:r>
    </w:p>
    <w:p>
      <w:pPr>
        <w:pStyle w:val="BodyText"/>
      </w:pPr>
      <w:r>
        <w:t xml:space="preserve">+15%</w:t>
      </w:r>
    </w:p>
    <w:p>
      <w:pPr>
        <w:pStyle w:val="BodyText"/>
      </w:pPr>
      <w:r>
        <w:t xml:space="preserve">Rhein-Main Bridge Reconstruction; ECB Campus Expansion</w:t>
      </w:r>
    </w:p>
    <w:p>
      <w:pPr>
        <w:pStyle w:val="BodyText"/>
      </w:pPr>
      <w:r>
        <w:t xml:space="preserve">Sustainable Infrastructure Design</w:t>
      </w:r>
    </w:p>
    <w:p>
      <w:pPr>
        <w:pStyle w:val="BodyText"/>
      </w:pPr>
      <w:r>
        <w:t xml:space="preserve">€8.9M</w:t>
      </w:r>
    </w:p>
    <w:p>
      <w:pPr>
        <w:pStyle w:val="BodyText"/>
      </w:pPr>
      <w:r>
        <w:t xml:space="preserve">+22%</w:t>
      </w:r>
    </w:p>
    <w:p>
      <w:pPr>
        <w:pStyle w:val="BodyText"/>
      </w:pPr>
      <w:r>
        <w:t xml:space="preserve">Frankfurt Airport Climate-Neutral Terminal 1; Green Corridor Initiative (Nordend)</w:t>
      </w:r>
    </w:p>
    <w:p>
      <w:pPr>
        <w:pStyle w:val="BodyText"/>
      </w:pPr>
      <w:r>
        <w:t xml:space="preserve">Transportation Systems Planning</w:t>
      </w:r>
    </w:p>
    <w:p>
      <w:pPr>
        <w:pStyle w:val="BodyText"/>
      </w:pPr>
      <w:r>
        <w:t xml:space="preserve">€6.3M</w:t>
      </w:r>
    </w:p>
    <w:p>
      <w:pPr>
        <w:pStyle w:val="BodyText"/>
      </w:pPr>
      <w:r>
        <w:t xml:space="preserve">+10%</w:t>
      </w:r>
    </w:p>
    <w:p>
      <w:pPr>
        <w:pStyle w:val="BodyText"/>
      </w:pPr>
      <w:r>
        <w:t xml:space="preserve">New U-Bahn Line U6; Frankfurt-Straßburg Railway Upgrade</w:t>
      </w:r>
    </w:p>
    <w:p>
      <w:pPr>
        <w:pStyle w:val="BodyText"/>
      </w:pPr>
      <w:r>
        <w:t xml:space="preserve">The data demonstrates that firms offering integrated solutions—combining traditional Civil Engineer expertise with BIM (Building Information Modeling) capabilities and sustainability certifications (e.g., DGNB Gold)—achieve 30% higher win rates in Frankfurt tenders. Regulatory compliance with German standards (DIN, VDI) is non-negotiable for sales success, as highlighted by the 2023 amendment to the Construction Products Regulation (CPR) affecting all public projects.</w:t>
      </w:r>
    </w:p>
    <w:bookmarkEnd w:id="22"/>
    <w:bookmarkStart w:id="23" w:name="X91e1734d202cc078b32e6d934b83f3a35f7cc5e"/>
    <w:p>
      <w:pPr>
        <w:pStyle w:val="Heading2"/>
      </w:pPr>
      <w:r>
        <w:t xml:space="preserve">Competitive Landscape &amp; Strategic Sales Insights</w:t>
      </w:r>
    </w:p>
    <w:p>
      <w:pPr>
        <w:pStyle w:val="FirstParagraph"/>
      </w:pPr>
      <w:r>
        <w:t xml:space="preserve">Frankfurt's civil engineering market is highly competitive but segmented by service specialization. Leading firms like "BauConsult Frankfurt" and "Hochtief Engineering" dominate large-scale contracts, while niche players excel in sustainability-focused projects. For new entrants or expanding firms, the following sales strategies are critical:</w:t>
      </w:r>
    </w:p>
    <w:p>
      <w:pPr>
        <w:numPr>
          <w:ilvl w:val="0"/>
          <w:numId w:val="1002"/>
        </w:numPr>
        <w:pStyle w:val="Compact"/>
      </w:pPr>
      <w:r>
        <w:rPr>
          <w:bCs/>
          <w:b/>
        </w:rPr>
        <w:t xml:space="preserve">Local Partnership Imperative:</w:t>
      </w:r>
      <w:r>
        <w:t xml:space="preserve"> </w:t>
      </w:r>
      <w:r>
        <w:t xml:space="preserve">78% of major Frankfurt contracts require a German legal entity with local project managers. Partnering with established firms like "Schweizer Ingenieure" provides immediate market access and credibility.</w:t>
      </w:r>
    </w:p>
    <w:p>
      <w:pPr>
        <w:numPr>
          <w:ilvl w:val="0"/>
          <w:numId w:val="1002"/>
        </w:numPr>
        <w:pStyle w:val="Compact"/>
      </w:pPr>
      <w:r>
        <w:rPr>
          <w:bCs/>
          <w:b/>
        </w:rPr>
        <w:t xml:space="preserve">Digital Differentiation:</w:t>
      </w:r>
      <w:r>
        <w:t xml:space="preserve"> </w:t>
      </w:r>
      <w:r>
        <w:t xml:space="preserve">Firms using AI-driven geotechnical analysis tools (e.g., for Frankfurt's clay-rich soil) reported 40% shorter proposal cycles. Sales teams must showcase digital capabilities as a core value proposition.</w:t>
      </w:r>
    </w:p>
    <w:p>
      <w:pPr>
        <w:numPr>
          <w:ilvl w:val="0"/>
          <w:numId w:val="1002"/>
        </w:numPr>
        <w:pStyle w:val="Compact"/>
      </w:pPr>
      <w:r>
        <w:rPr>
          <w:bCs/>
          <w:b/>
        </w:rPr>
        <w:t xml:space="preserve">Stakeholder Alignment:</w:t>
      </w:r>
      <w:r>
        <w:t xml:space="preserve"> </w:t>
      </w:r>
      <w:r>
        <w:t xml:space="preserve">Frankfurt’s municipal projects involve multi-level governance (City Council, State Department of Infrastructure, EU funding bodies). Successful sales require understanding each stakeholder’s KPIs—e.g., the City Council prioritizes job creation, while the ECB focuses on operational continuity during construction.</w:t>
      </w:r>
    </w:p>
    <w:bookmarkEnd w:id="23"/>
    <w:bookmarkStart w:id="24" w:name="Xcd1220f57914bd0bc392919b373be4b987140f6"/>
    <w:p>
      <w:pPr>
        <w:pStyle w:val="Heading2"/>
      </w:pPr>
      <w:r>
        <w:t xml:space="preserve">Challenges &amp; Risk Mitigation for Sales Teams</w:t>
      </w:r>
    </w:p>
    <w:p>
      <w:pPr>
        <w:pStyle w:val="FirstParagraph"/>
      </w:pPr>
      <w:r>
        <w:t xml:space="preserve">Despite robust demand, Civil Engineer service providers face three key hurdles in Frankfurt:</w:t>
      </w:r>
    </w:p>
    <w:p>
      <w:pPr>
        <w:numPr>
          <w:ilvl w:val="0"/>
          <w:numId w:val="1003"/>
        </w:numPr>
        <w:pStyle w:val="Compact"/>
      </w:pPr>
      <w:r>
        <w:rPr>
          <w:bCs/>
          <w:b/>
        </w:rPr>
        <w:t xml:space="preserve">Talent Shortage:</w:t>
      </w:r>
      <w:r>
        <w:t xml:space="preserve"> </w:t>
      </w:r>
      <w:r>
        <w:t xml:space="preserve">A 15% vacancy rate for mid-career Civil Engineers across German firms. *Sales Strategy:* Emphasize firm-wide training programs (e.g., "Frankfurt Construction Academy" certifications) to reassure clients of project continuity.</w:t>
      </w:r>
    </w:p>
    <w:p>
      <w:pPr>
        <w:numPr>
          <w:ilvl w:val="0"/>
          <w:numId w:val="1003"/>
        </w:numPr>
        <w:pStyle w:val="Compact"/>
      </w:pPr>
      <w:r>
        <w:rPr>
          <w:bCs/>
          <w:b/>
        </w:rPr>
        <w:t xml:space="preserve">Regulatory Complexity:</w:t>
      </w:r>
      <w:r>
        <w:t xml:space="preserve"> </w:t>
      </w:r>
      <w:r>
        <w:t xml:space="preserve">Frequent updates to German building codes (e.g., the 2023 Energy Efficiency Directive). *Sales Strategy:* Embed regulatory experts in client proposal teams; highlight compliance track records in all sales materials.</w:t>
      </w:r>
    </w:p>
    <w:p>
      <w:pPr>
        <w:numPr>
          <w:ilvl w:val="0"/>
          <w:numId w:val="1003"/>
        </w:numPr>
        <w:pStyle w:val="Compact"/>
      </w:pPr>
      <w:r>
        <w:rPr>
          <w:bCs/>
          <w:b/>
        </w:rPr>
        <w:t xml:space="preserve">Public Procurement Cycles:</w:t>
      </w:r>
      <w:r>
        <w:t xml:space="preserve"> </w:t>
      </w:r>
      <w:r>
        <w:t xml:space="preserve">Frankfurt's tender process averages 9-12 months. *Sales Strategy:* Initiate relationship-building 18 months pre-tender via free workshops on "Climate-Resilient Infrastructure for Frankfurt" (co-hosted with the City of Frankfurt’s Urban Development Office).</w:t>
      </w:r>
    </w:p>
    <w:bookmarkEnd w:id="24"/>
    <w:bookmarkStart w:id="25" w:name="forward-looking-sales-recommendations"/>
    <w:p>
      <w:pPr>
        <w:pStyle w:val="Heading2"/>
      </w:pPr>
      <w:r>
        <w:t xml:space="preserve">Forward-Looking Sales Recommendations</w:t>
      </w:r>
    </w:p>
    <w:p>
      <w:pPr>
        <w:pStyle w:val="FirstParagraph"/>
      </w:pPr>
      <w:r>
        <w:t xml:space="preserve">To capitalize on Frankfurt’s infrastructure boom, we recommend three immediate sales actions:</w:t>
      </w:r>
    </w:p>
    <w:p>
      <w:pPr>
        <w:numPr>
          <w:ilvl w:val="0"/>
          <w:numId w:val="1004"/>
        </w:numPr>
        <w:pStyle w:val="Compact"/>
      </w:pPr>
      <w:r>
        <w:rPr>
          <w:bCs/>
          <w:b/>
        </w:rPr>
        <w:t xml:space="preserve">Launch a "Frankfurt Sustainability Portfolio":</w:t>
      </w:r>
      <w:r>
        <w:t xml:space="preserve"> </w:t>
      </w:r>
      <w:r>
        <w:t xml:space="preserve">Bundle services (e.g., "Net-Zero Carbon Campus Design" for new office developments) with verified carbon footprint reports aligned with the German Energy Transition (Energiewende).</w:t>
      </w:r>
    </w:p>
    <w:p>
      <w:pPr>
        <w:numPr>
          <w:ilvl w:val="0"/>
          <w:numId w:val="1004"/>
        </w:numPr>
        <w:pStyle w:val="Compact"/>
      </w:pPr>
      <w:r>
        <w:rPr>
          <w:bCs/>
          <w:b/>
        </w:rPr>
        <w:t xml:space="preserve">Target ECB &amp; Financial District Projects:</w:t>
      </w:r>
      <w:r>
        <w:t xml:space="preserve"> </w:t>
      </w:r>
      <w:r>
        <w:t xml:space="preserve">Allocate 30% of sales team resources to developing tailored proposals for ECB’s €500M real estate modernization program, focusing on seismic resilience and data-center infrastructure.</w:t>
      </w:r>
    </w:p>
    <w:p>
      <w:pPr>
        <w:numPr>
          <w:ilvl w:val="0"/>
          <w:numId w:val="1004"/>
        </w:numPr>
        <w:pStyle w:val="Compact"/>
      </w:pPr>
      <w:r>
        <w:rPr>
          <w:bCs/>
          <w:b/>
        </w:rPr>
        <w:t xml:space="preserve">Leverage Frankfurt's Digital Ecosystem:</w:t>
      </w:r>
      <w:r>
        <w:t xml:space="preserve"> </w:t>
      </w:r>
      <w:r>
        <w:t xml:space="preserve">Partner with local tech firms (e.g., "Frankfurt Tech City") to integrate IoT sensor networks into civil engineering projects, offering clients real-time structural health monitoring as a premium service.</w:t>
      </w:r>
    </w:p>
    <w:bookmarkEnd w:id="25"/>
    <w:bookmarkStart w:id="26" w:name="conclusion"/>
    <w:p>
      <w:pPr>
        <w:pStyle w:val="Heading2"/>
      </w:pPr>
      <w:r>
        <w:t xml:space="preserve">Conclusion</w:t>
      </w:r>
    </w:p>
    <w:p>
      <w:pPr>
        <w:pStyle w:val="FirstParagraph"/>
      </w:pPr>
      <w:r>
        <w:t xml:space="preserve">The Frankfurt market for Civil Engineer services is not merely growing—it is transforming. Germany’s commitment to infrastructure modernization, coupled with Frankfurt’s status as Europe’s logistics and finance capital, creates a uniquely fertile ground for engineering firms that blend technical excellence with deep local market understanding. Firms prioritizing German regulatory expertise, sustainable innovation, and strategic stakeholder engagement will capture the most significant share of this €180M+ annual sales opportunity. This Sales Report confirms that in Frankfurt, Germany’s premier urban center, the right Civil Engineer service provider is not just a vendor—they are an indispensable partner in shaping the city’s future. We project 15% compound annual growth for specialized civil engineering services through 2026, making immediate strategic investment critical for long-term market leadership.</w:t>
      </w:r>
    </w:p>
    <w:p>
      <w:pPr>
        <w:pStyle w:val="BodyText"/>
      </w:pPr>
      <w:r>
        <w:rPr>
          <w:iCs/>
          <w:i/>
        </w:rPr>
        <w:t xml:space="preserve">Prepared by: Global Engineering Solutions Sales Intelligence Unit | Date: October 26, 2023 | Confidential for Frankfurt Market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Market Analysis - Frankfurt, Germany</dc:title>
  <dc:creator/>
  <dc:language>en</dc:language>
  <cp:keywords/>
  <dcterms:created xsi:type="dcterms:W3CDTF">2026-07-21T02:50:57Z</dcterms:created>
  <dcterms:modified xsi:type="dcterms:W3CDTF">2026-07-21T02:50:57Z</dcterms:modified>
</cp:coreProperties>
</file>

<file path=docProps/custom.xml><?xml version="1.0" encoding="utf-8"?>
<Properties xmlns="http://schemas.openxmlformats.org/officeDocument/2006/custom-properties" xmlns:vt="http://schemas.openxmlformats.org/officeDocument/2006/docPropsVTypes"/>
</file>