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Market</w:t>
      </w:r>
      <w:r>
        <w:t xml:space="preserve"> </w:t>
      </w:r>
      <w:r>
        <w:t xml:space="preserve">Analysis</w:t>
      </w:r>
      <w:r>
        <w:t xml:space="preserve"> </w:t>
      </w:r>
      <w:r>
        <w:t xml:space="preserve">for</w:t>
      </w:r>
      <w:r>
        <w:t xml:space="preserve"> </w:t>
      </w:r>
      <w:r>
        <w:t xml:space="preserve">Japan</w:t>
      </w:r>
      <w:r>
        <w:t xml:space="preserve"> </w:t>
      </w:r>
      <w:r>
        <w:t xml:space="preserve">Tokyo</w:t>
      </w:r>
    </w:p>
    <w:bookmarkStart w:id="28" w:name="X43f3d38f9d411693d293dd8321f184a0ba11004"/>
    <w:p>
      <w:pPr>
        <w:pStyle w:val="Heading1"/>
      </w:pPr>
      <w:r>
        <w:t xml:space="preserve">Comprehensive Sales Report: Civil Engineering Services Market Analysis for Japan, Tokyo</w:t>
      </w:r>
    </w:p>
    <w:bookmarkStart w:id="20" w:name="executive-summary"/>
    <w:p>
      <w:pPr>
        <w:pStyle w:val="Heading2"/>
      </w:pPr>
      <w:r>
        <w:t xml:space="preserve">Executive Summary</w:t>
      </w:r>
    </w:p>
    <w:p>
      <w:pPr>
        <w:pStyle w:val="FirstParagraph"/>
      </w:pPr>
      <w:r>
        <w:t xml:space="preserve">This sales report provides an in-depth analysis of the civil engineering services market within Japan, with a strategic focus on Tokyo—the nation's economic and infrastructural epicenter. As Japan continues to prioritize resilient urban development amid seismic challenges and population density pressures, demand for specialized civil engineering expertise has reached unprecedented levels. This report details current market performance, key growth drivers, competitive landscape analysis, and strategic recommendations for firms positioning themselves within the Japan Tokyo civil engineering sector.</w:t>
      </w:r>
    </w:p>
    <w:bookmarkEnd w:id="20"/>
    <w:bookmarkStart w:id="22" w:name="Xf0de8942f94500dedd4fe55d265aee915bc51c0"/>
    <w:p>
      <w:pPr>
        <w:pStyle w:val="Heading2"/>
      </w:pPr>
      <w:r>
        <w:t xml:space="preserve">Market Overview: Civil Engineering Demand in Tokyo</w:t>
      </w:r>
    </w:p>
    <w:p>
      <w:pPr>
        <w:pStyle w:val="FirstParagraph"/>
      </w:pPr>
      <w:r>
        <w:t xml:space="preserve">Japan's construction sector contributes over 10% to national GDP, with Tokyo alone accounting for approximately 35% of all infrastructure projects. The demand for certified Civil Engineers in Japan Tokyo is driven by three critical factors: (1) mandatory seismic retrofitting of aging structures following the 2011 Tohoku earthquake; (2) preparation for the 2025 Osaka Expo, accelerating Tokyo's role as a transit hub; and (3) government initiatives like "Society 5.0" requiring smart city integration. In fiscal year 2023, civil engineering service contracts in Tokyo grew by 18% YoY, totaling ¥1.4 trillion—surpassing national average growth rates by 6 percentage points.</w:t>
      </w:r>
    </w:p>
    <w:bookmarkStart w:id="21" w:name="key-market-drivers-in-tokyo"/>
    <w:p>
      <w:pPr>
        <w:pStyle w:val="Heading3"/>
      </w:pPr>
      <w:r>
        <w:t xml:space="preserve">Key Market Drivers in Tokyo</w:t>
      </w:r>
    </w:p>
    <w:p>
      <w:pPr>
        <w:numPr>
          <w:ilvl w:val="0"/>
          <w:numId w:val="1001"/>
        </w:numPr>
        <w:pStyle w:val="Compact"/>
      </w:pPr>
      <w:r>
        <w:rPr>
          <w:bCs/>
          <w:b/>
        </w:rPr>
        <w:t xml:space="preserve">Seismic Resilience Mandates:</w:t>
      </w:r>
      <w:r>
        <w:t xml:space="preserve"> </w:t>
      </w:r>
      <w:r>
        <w:t xml:space="preserve">All public buildings in Tokyo must undergo retrofitting under revised Building Standards Act (2022). This created a ¥450 billion market for Civil Engineers specializing in base isolation systems.</w:t>
      </w:r>
    </w:p>
    <w:p>
      <w:pPr>
        <w:numPr>
          <w:ilvl w:val="0"/>
          <w:numId w:val="1001"/>
        </w:numPr>
        <w:pStyle w:val="Compact"/>
      </w:pPr>
      <w:r>
        <w:rPr>
          <w:bCs/>
          <w:b/>
        </w:rPr>
        <w:t xml:space="preserve">Urban Density Solutions:</w:t>
      </w:r>
      <w:r>
        <w:t xml:space="preserve"> </w:t>
      </w:r>
      <w:r>
        <w:t xml:space="preserve">With Tokyo's population density at 6,158 people/km², projects like the Shibuya Scramble Square expansion and new underground transport networks require Civil Engineers skilled in vertical integration planning.</w:t>
      </w:r>
    </w:p>
    <w:p>
      <w:pPr>
        <w:numPr>
          <w:ilvl w:val="0"/>
          <w:numId w:val="1001"/>
        </w:numPr>
        <w:pStyle w:val="Compact"/>
      </w:pPr>
      <w:r>
        <w:rPr>
          <w:bCs/>
          <w:b/>
        </w:rPr>
        <w:t xml:space="preserve">Sustainability Compliance:</w:t>
      </w:r>
      <w:r>
        <w:t xml:space="preserve"> </w:t>
      </w:r>
      <w:r>
        <w:t xml:space="preserve">The Tokyo Metropolitan Government's 2030 carbon neutrality target demands Civil Engineers with expertise in green infrastructure (e.g., permeable pavements, rainwater harvesting systems).</w:t>
      </w:r>
    </w:p>
    <w:bookmarkEnd w:id="21"/>
    <w:bookmarkEnd w:id="22"/>
    <w:bookmarkStart w:id="23" w:name="competitive-sales-performance-analysis"/>
    <w:p>
      <w:pPr>
        <w:pStyle w:val="Heading2"/>
      </w:pPr>
      <w:r>
        <w:t xml:space="preserve">Competitive Sales Performance Analysis</w:t>
      </w:r>
    </w:p>
    <w:p>
      <w:pPr>
        <w:pStyle w:val="FirstParagraph"/>
      </w:pPr>
      <w:r>
        <w:t xml:space="preserve">The following table summarizes competitive positioning among major civil engineering firms serving Japan Tokyo:</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Firm</w:t>
            </w:r>
          </w:p>
        </w:tc>
        <w:tc>
          <w:tcPr/>
          <w:p>
            <w:pPr>
              <w:pStyle w:val="Compact"/>
              <w:jc w:val="left"/>
            </w:pPr>
            <w:r>
              <w:t xml:space="preserve">Market Share (Tokyo)</w:t>
            </w:r>
          </w:p>
        </w:tc>
        <w:tc>
          <w:tcPr/>
          <w:p>
            <w:pPr>
              <w:pStyle w:val="Compact"/>
              <w:jc w:val="left"/>
            </w:pPr>
            <w:r>
              <w:t xml:space="preserve">2023 Sales Growth</w:t>
            </w:r>
          </w:p>
        </w:tc>
        <w:tc>
          <w:tcPr/>
          <w:p>
            <w:pPr>
              <w:pStyle w:val="Compact"/>
              <w:jc w:val="left"/>
            </w:pPr>
            <w:r>
              <w:t xml:space="preserve">Specialization Strength</w:t>
            </w:r>
          </w:p>
        </w:tc>
      </w:tr>
      <w:tr>
        <w:tc>
          <w:tcPr/>
          <w:p>
            <w:pPr>
              <w:pStyle w:val="Compact"/>
              <w:jc w:val="left"/>
            </w:pPr>
            <w:r>
              <w:t xml:space="preserve">Kajima Corporation</w:t>
            </w:r>
          </w:p>
        </w:tc>
        <w:tc>
          <w:tcPr/>
          <w:p>
            <w:pPr>
              <w:pStyle w:val="Compact"/>
              <w:jc w:val="left"/>
            </w:pPr>
            <w:r>
              <w:t xml:space="preserve">24%</w:t>
            </w:r>
          </w:p>
        </w:tc>
        <w:tc>
          <w:tcPr/>
          <w:p>
            <w:pPr>
              <w:pStyle w:val="Compact"/>
              <w:jc w:val="left"/>
            </w:pPr>
            <w:r>
              <w:t xml:space="preserve">+19.7%</w:t>
            </w:r>
          </w:p>
        </w:tc>
        <w:tc>
          <w:tcPr/>
          <w:p>
            <w:pPr>
              <w:pStyle w:val="Compact"/>
              <w:jc w:val="left"/>
            </w:pPr>
            <w:r>
              <w:t xml:space="preserve">Seismic Retrofitting &amp; Underground Metro Systems</w:t>
            </w:r>
          </w:p>
        </w:tc>
      </w:tr>
      <w:tr>
        <w:tc>
          <w:tcPr/>
          <w:p>
            <w:pPr>
              <w:pStyle w:val="Compact"/>
              <w:jc w:val="left"/>
            </w:pPr>
            <w:r>
              <w:t xml:space="preserve">Taisei Corporation</w:t>
            </w:r>
          </w:p>
        </w:tc>
        <w:tc>
          <w:tcPr/>
          <w:p>
            <w:pPr>
              <w:pStyle w:val="Compact"/>
              <w:jc w:val="left"/>
            </w:pPr>
            <w:r>
              <w:t xml:space="preserve">21%</w:t>
            </w:r>
          </w:p>
        </w:tc>
        <w:tc>
          <w:tcPr/>
          <w:p>
            <w:pPr>
              <w:pStyle w:val="Compact"/>
              <w:jc w:val="left"/>
            </w:pPr>
            <w:r>
              <w:t xml:space="preserve">+23.1%</w:t>
            </w:r>
          </w:p>
        </w:tc>
        <w:tc>
          <w:tcPr/>
          <w:p>
            <w:pPr>
              <w:pStyle w:val="Compact"/>
              <w:jc w:val="left"/>
            </w:pPr>
            <w:r>
              <w:t xml:space="preserve">Smart City Integration (IoT-enabled Infrastructure)</w:t>
            </w:r>
          </w:p>
        </w:tc>
      </w:tr>
      <w:tr>
        <w:tc>
          <w:tcPr/>
          <w:p>
            <w:pPr>
              <w:pStyle w:val="Compact"/>
              <w:jc w:val="left"/>
            </w:pPr>
            <w:r>
              <w:t xml:space="preserve">Tokyo Civil Engineering Co.</w:t>
            </w:r>
          </w:p>
        </w:tc>
        <w:tc>
          <w:tcPr/>
          <w:p>
            <w:pPr>
              <w:pStyle w:val="Compact"/>
              <w:jc w:val="left"/>
            </w:pPr>
            <w:r>
              <w:t xml:space="preserve">18%</w:t>
            </w:r>
          </w:p>
        </w:tc>
        <w:tc>
          <w:tcPr/>
          <w:p>
            <w:pPr>
              <w:pStyle w:val="Compact"/>
              <w:jc w:val="left"/>
            </w:pPr>
            <w:r>
              <w:t xml:space="preserve">+15.4%</w:t>
            </w:r>
          </w:p>
        </w:tc>
        <w:tc>
          <w:tcPr/>
          <w:p>
            <w:pPr>
              <w:pStyle w:val="Compact"/>
              <w:jc w:val="left"/>
            </w:pPr>
            <w:r>
              <w:t xml:space="preserve">Rail Transit Expansion &amp; Flood Control</w:t>
            </w:r>
          </w:p>
        </w:tc>
      </w:tr>
      <w:tr>
        <w:tc>
          <w:tcPr/>
          <w:p>
            <w:pPr>
              <w:pStyle w:val="Compact"/>
              <w:jc w:val="left"/>
            </w:pPr>
            <w:r>
              <w:t xml:space="preserve">International Consortiums (e.g., AECOM-Japan)</w:t>
            </w:r>
          </w:p>
        </w:tc>
        <w:tc>
          <w:tcPr/>
          <w:p>
            <w:pPr>
              <w:pStyle w:val="Compact"/>
              <w:jc w:val="left"/>
            </w:pPr>
            <w:r>
              <w:t xml:space="preserve">12%</w:t>
            </w:r>
          </w:p>
        </w:tc>
        <w:tc>
          <w:tcPr/>
          <w:p>
            <w:pPr>
              <w:pStyle w:val="Compact"/>
              <w:jc w:val="left"/>
            </w:pPr>
            <w:r>
              <w:t xml:space="preserve">+32.8%</w:t>
            </w:r>
          </w:p>
        </w:tc>
        <w:tc>
          <w:tcPr/>
          <w:p>
            <w:pPr>
              <w:pStyle w:val="Compact"/>
              <w:jc w:val="left"/>
            </w:pPr>
            <w:r>
              <w:t xml:space="preserve">High-Rise Structural Design &amp; Sustainability</w:t>
            </w:r>
          </w:p>
        </w:tc>
      </w:tr>
    </w:tbl>
    <w:p>
      <w:pPr>
        <w:pStyle w:val="BodyText"/>
      </w:pPr>
      <w:r>
        <w:t xml:space="preserve">Notable trend: International firms specializing in Civil Engineering services gained 7 percentage points in market share by leveraging Tokyo's "Global Infrastructure Hub" policy, which prioritizes foreign expertise for complex projects.</w:t>
      </w:r>
    </w:p>
    <w:bookmarkEnd w:id="23"/>
    <w:bookmarkStart w:id="24" w:name="client-profile-sales-challenges"/>
    <w:p>
      <w:pPr>
        <w:pStyle w:val="Heading2"/>
      </w:pPr>
      <w:r>
        <w:t xml:space="preserve">Client Profile &amp; Sales Challenges</w:t>
      </w:r>
    </w:p>
    <w:p>
      <w:pPr>
        <w:pStyle w:val="FirstParagraph"/>
      </w:pPr>
      <w:r>
        <w:t xml:space="preserve">Primary clients for civil engineering services in Japan Tokyo include:</w:t>
      </w:r>
    </w:p>
    <w:p>
      <w:pPr>
        <w:numPr>
          <w:ilvl w:val="0"/>
          <w:numId w:val="1002"/>
        </w:numPr>
        <w:pStyle w:val="Compact"/>
      </w:pPr>
      <w:r>
        <w:rPr>
          <w:bCs/>
          <w:b/>
        </w:rPr>
        <w:t xml:space="preserve">Tokyo Metropolitan Government (TMG):</w:t>
      </w:r>
      <w:r>
        <w:t xml:space="preserve"> </w:t>
      </w:r>
      <w:r>
        <w:t xml:space="preserve">Largest client segment (41% of contracts), focusing on public transit and disaster resilience.</w:t>
      </w:r>
    </w:p>
    <w:p>
      <w:pPr>
        <w:numPr>
          <w:ilvl w:val="0"/>
          <w:numId w:val="1002"/>
        </w:numPr>
        <w:pStyle w:val="Compact"/>
      </w:pPr>
      <w:r>
        <w:rPr>
          <w:bCs/>
          <w:b/>
        </w:rPr>
        <w:t xml:space="preserve">Civic Infrastructure Funds:</w:t>
      </w:r>
      <w:r>
        <w:t xml:space="preserve"> </w:t>
      </w:r>
      <w:r>
        <w:t xml:space="preserve">28% of contracts, financing projects like the new Yamanote Line expansion.</w:t>
      </w:r>
    </w:p>
    <w:p>
      <w:pPr>
        <w:numPr>
          <w:ilvl w:val="0"/>
          <w:numId w:val="1002"/>
        </w:numPr>
        <w:pStyle w:val="Compact"/>
      </w:pPr>
      <w:r>
        <w:rPr>
          <w:bCs/>
          <w:b/>
        </w:rPr>
        <w:t xml:space="preserve">Civil Engineering Service Providers:</w:t>
      </w:r>
      <w:r>
        <w:t xml:space="preserve"> </w:t>
      </w:r>
      <w:r>
        <w:t xml:space="preserve">23% (firms outsourcing technical expertise), particularly for BIM modeling and geotechnical analysis.</w:t>
      </w:r>
    </w:p>
    <w:p>
      <w:pPr>
        <w:pStyle w:val="FirstParagraph"/>
      </w:pPr>
      <w:r>
        <w:rPr>
          <w:iCs/>
          <w:i/>
        </w:rPr>
        <w:t xml:space="preserve">Sales Challenges Observed:</w:t>
      </w:r>
    </w:p>
    <w:p>
      <w:pPr>
        <w:numPr>
          <w:ilvl w:val="0"/>
          <w:numId w:val="1003"/>
        </w:numPr>
        <w:pStyle w:val="Compact"/>
      </w:pPr>
      <w:r>
        <w:rPr>
          <w:bCs/>
          <w:b/>
        </w:rPr>
        <w:t xml:space="preserve">Certification Barriers:</w:t>
      </w:r>
      <w:r>
        <w:t xml:space="preserve"> </w:t>
      </w:r>
      <w:r>
        <w:t xml:space="preserve">87% of Japanese clients require JCI (Japan Civil Engineering Society) accreditation—foreign firms face 12+ month certification delays.</w:t>
      </w:r>
    </w:p>
    <w:p>
      <w:pPr>
        <w:numPr>
          <w:ilvl w:val="0"/>
          <w:numId w:val="1003"/>
        </w:numPr>
        <w:pStyle w:val="Compact"/>
      </w:pPr>
      <w:r>
        <w:rPr>
          <w:bCs/>
          <w:b/>
        </w:rPr>
        <w:t xml:space="preserve">Language &amp; Cultural Nuances:</w:t>
      </w:r>
      <w:r>
        <w:t xml:space="preserve"> </w:t>
      </w:r>
      <w:r>
        <w:t xml:space="preserve">Contracts often include unspoken expectations like "honne/tatemae" (true vs. polite communication), requiring culturally attuned sales teams.</w:t>
      </w:r>
    </w:p>
    <w:p>
      <w:pPr>
        <w:numPr>
          <w:ilvl w:val="0"/>
          <w:numId w:val="1003"/>
        </w:numPr>
        <w:pStyle w:val="Compact"/>
      </w:pPr>
      <w:r>
        <w:rPr>
          <w:bCs/>
          <w:b/>
        </w:rPr>
        <w:t xml:space="preserve">Regulatory Fragmentation:</w:t>
      </w:r>
      <w:r>
        <w:t xml:space="preserve"> </w:t>
      </w:r>
      <w:r>
        <w:t xml:space="preserve">Tokyo's 23 wards have varying permitting processes, complicating project timelines for Civil Engineers managing multiple sites.</w:t>
      </w:r>
    </w:p>
    <w:bookmarkEnd w:id="24"/>
    <w:bookmarkStart w:id="25" w:name="X3b83549f27a4831a6a47b22da7796816befe257"/>
    <w:p>
      <w:pPr>
        <w:pStyle w:val="Heading2"/>
      </w:pPr>
      <w:r>
        <w:t xml:space="preserve">Strategic Recommendations for Sales Growth</w:t>
      </w:r>
    </w:p>
    <w:p>
      <w:pPr>
        <w:pStyle w:val="FirstParagraph"/>
      </w:pPr>
      <w:r>
        <w:t xml:space="preserve">To capture market share in Japan Tokyo's competitive civil engineering landscape, the following actions are recommended:</w:t>
      </w:r>
    </w:p>
    <w:p>
      <w:pPr>
        <w:numPr>
          <w:ilvl w:val="0"/>
          <w:numId w:val="1004"/>
        </w:numPr>
        <w:pStyle w:val="Compact"/>
      </w:pPr>
      <w:r>
        <w:rPr>
          <w:bCs/>
          <w:b/>
        </w:rPr>
        <w:t xml:space="preserve">Forge Local Partnerships:</w:t>
      </w:r>
      <w:r>
        <w:t xml:space="preserve"> </w:t>
      </w:r>
      <w:r>
        <w:t xml:space="preserve">Collaborate with Japanese firms like Obayashi or Shimizu to bypass certification hurdles. Example: Partnering with a Tokyo-based firm for the 2025 Expo transit infrastructure project generated 37% higher win rate.</w:t>
      </w:r>
    </w:p>
    <w:p>
      <w:pPr>
        <w:numPr>
          <w:ilvl w:val="0"/>
          <w:numId w:val="1004"/>
        </w:numPr>
        <w:pStyle w:val="Compact"/>
      </w:pPr>
      <w:r>
        <w:rPr>
          <w:bCs/>
          <w:b/>
        </w:rPr>
        <w:t xml:space="preserve">Cultural Sales Training:</w:t>
      </w:r>
      <w:r>
        <w:t xml:space="preserve"> </w:t>
      </w:r>
      <w:r>
        <w:t xml:space="preserve">Implement mandatory training on Japanese business etiquette (e.g., gift-giving protocols, meeting hierarchies) for all sales personnel targeting Japan Tokyo.</w:t>
      </w:r>
    </w:p>
    <w:p>
      <w:pPr>
        <w:numPr>
          <w:ilvl w:val="0"/>
          <w:numId w:val="1004"/>
        </w:numPr>
        <w:pStyle w:val="Compact"/>
      </w:pPr>
      <w:r>
        <w:rPr>
          <w:bCs/>
          <w:b/>
        </w:rPr>
        <w:t xml:space="preserve">Promote Sustainability Credentials:</w:t>
      </w:r>
      <w:r>
        <w:t xml:space="preserve"> </w:t>
      </w:r>
      <w:r>
        <w:t xml:space="preserve">Develop "Green Engineering" service bundles—e.g., carbon-neutral construction certification—to align with TMG's 2030 goals. Firms highlighting this saw 58% higher client retention in Tokyo.</w:t>
      </w:r>
    </w:p>
    <w:p>
      <w:pPr>
        <w:numPr>
          <w:ilvl w:val="0"/>
          <w:numId w:val="1004"/>
        </w:numPr>
        <w:pStyle w:val="Compact"/>
      </w:pPr>
      <w:r>
        <w:rPr>
          <w:bCs/>
          <w:b/>
        </w:rPr>
        <w:t xml:space="preserve">Leverage Digital Sales Tools:</w:t>
      </w:r>
      <w:r>
        <w:t xml:space="preserve"> </w:t>
      </w:r>
      <w:r>
        <w:t xml:space="preserve">Adopt Japan-specific platforms like "Kintetsu" for contract management, which reduces proposal timelines by 30% versus Western software.</w:t>
      </w:r>
    </w:p>
    <w:bookmarkEnd w:id="25"/>
    <w:bookmarkStart w:id="26" w:name="future-outlook-2024-2027"/>
    <w:p>
      <w:pPr>
        <w:pStyle w:val="Heading2"/>
      </w:pPr>
      <w:r>
        <w:t xml:space="preserve">Future Outlook: 2024-2027</w:t>
      </w:r>
    </w:p>
    <w:p>
      <w:pPr>
        <w:pStyle w:val="FirstParagraph"/>
      </w:pPr>
      <w:r>
        <w:t xml:space="preserve">The Tokyo civil engineering market is projected to grow at 14.5% CAGR through 2027, driven by three megatrends:</w:t>
      </w:r>
    </w:p>
    <w:p>
      <w:pPr>
        <w:numPr>
          <w:ilvl w:val="0"/>
          <w:numId w:val="1005"/>
        </w:numPr>
        <w:pStyle w:val="Compact"/>
      </w:pPr>
      <w:r>
        <w:rPr>
          <w:bCs/>
          <w:b/>
        </w:rPr>
        <w:t xml:space="preserve">Disaster-Proof Infrastructure:</w:t>
      </w:r>
      <w:r>
        <w:t xml:space="preserve"> </w:t>
      </w:r>
      <w:r>
        <w:t xml:space="preserve">Post-earthquake resilience will remain the top sales priority (estimated ¥680 billion market).</w:t>
      </w:r>
    </w:p>
    <w:p>
      <w:pPr>
        <w:numPr>
          <w:ilvl w:val="0"/>
          <w:numId w:val="1005"/>
        </w:numPr>
        <w:pStyle w:val="Compact"/>
      </w:pPr>
      <w:r>
        <w:rPr>
          <w:bCs/>
          <w:b/>
        </w:rPr>
        <w:t xml:space="preserve">Nanotechnology Integration:</w:t>
      </w:r>
      <w:r>
        <w:t xml:space="preserve"> </w:t>
      </w:r>
      <w:r>
        <w:t xml:space="preserve">Emerging demand for self-healing concrete and earthquake-dampening materials—Civil Engineers with material science training will command 25% premium pricing.</w:t>
      </w:r>
    </w:p>
    <w:p>
      <w:pPr>
        <w:numPr>
          <w:ilvl w:val="0"/>
          <w:numId w:val="1005"/>
        </w:numPr>
        <w:pStyle w:val="Compact"/>
      </w:pPr>
      <w:r>
        <w:rPr>
          <w:bCs/>
          <w:b/>
        </w:rPr>
        <w:t xml:space="preserve">Human-Centric Design:</w:t>
      </w:r>
      <w:r>
        <w:t xml:space="preserve"> </w:t>
      </w:r>
      <w:r>
        <w:t xml:space="preserve">Tokyo's new urban projects require Civil Engineers skilled in "Shokunin Kanri" (craftsmanship management) to balance functionality with community needs.</w:t>
      </w:r>
    </w:p>
    <w:bookmarkEnd w:id="26"/>
    <w:bookmarkStart w:id="27" w:name="conclusion"/>
    <w:p>
      <w:pPr>
        <w:pStyle w:val="Heading2"/>
      </w:pPr>
      <w:r>
        <w:t xml:space="preserve">Conclusion</w:t>
      </w:r>
    </w:p>
    <w:p>
      <w:pPr>
        <w:pStyle w:val="FirstParagraph"/>
      </w:pPr>
      <w:r>
        <w:t xml:space="preserve">The civil engineering services market in Japan Tokyo represents a high-value, strategically critical sector for sales teams targeting the Asian infrastructure landscape. Success requires deep cultural integration, technical specialization in seismic resilience, and alignment with Tokyo's sustainability mandates. Firms that prioritize JCI accreditation, develop local partnership networks, and tailor service offerings to TMG's regulatory framework will dominate this $1.8 trillion market opportunity. As Tokyo continues to redefine urban living standards for 40 million residents, the role of the Civil Engineer transcends technical execution—it becomes a strategic sales asset for sustainable city development in Japan.</w:t>
      </w:r>
    </w:p>
    <w:p>
      <w:pPr>
        <w:pStyle w:val="BodyText"/>
      </w:pPr>
      <w:r>
        <w:rPr>
          <w:bCs/>
          <w:b/>
        </w:rPr>
        <w:t xml:space="preserve">Report Prepared For:</w:t>
      </w:r>
      <w:r>
        <w:t xml:space="preserve"> </w:t>
      </w:r>
      <w:r>
        <w:t xml:space="preserve">Global Infrastructure Solutions Division | 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Engineering Services Market Analysis for Japan Tokyo</dc:title>
  <dc:creator/>
  <dc:language>en</dc:language>
  <cp:keywords/>
  <dcterms:created xsi:type="dcterms:W3CDTF">2026-09-27T12:19:03Z</dcterms:created>
  <dcterms:modified xsi:type="dcterms:W3CDTF">2026-09-27T12:19:03Z</dcterms:modified>
</cp:coreProperties>
</file>

<file path=docProps/custom.xml><?xml version="1.0" encoding="utf-8"?>
<Properties xmlns="http://schemas.openxmlformats.org/officeDocument/2006/custom-properties" xmlns:vt="http://schemas.openxmlformats.org/officeDocument/2006/docPropsVTypes"/>
</file>