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Casablanca,</w:t>
      </w:r>
      <w:r>
        <w:t xml:space="preserve"> </w:t>
      </w:r>
      <w:r>
        <w:t xml:space="preserve">Morocco</w:t>
      </w:r>
    </w:p>
    <w:bookmarkStart w:id="27" w:name="X2ad1f2356b972a3f84cc3110fa7419609f1ce3d"/>
    <w:p>
      <w:pPr>
        <w:pStyle w:val="Heading1"/>
      </w:pPr>
      <w:r>
        <w:t xml:space="preserve">Sales Report: Civil Engineering Market Analysis and Performance in Casablanca, Morocco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Market Intelligence Department</w:t>
      </w:r>
    </w:p>
    <w:bookmarkStart w:id="20" w:name="i.-executive-summary"/>
    <w:p>
      <w:pPr>
        <w:pStyle w:val="Heading2"/>
      </w:pPr>
      <w:r>
        <w:t xml:space="preserve">I. Executive Summary</w:t>
      </w:r>
    </w:p>
    <w:p>
      <w:pPr>
        <w:pStyle w:val="FirstParagraph"/>
      </w:pPr>
      <w:r>
        <w:t xml:space="preserve">This Sales Report provides a comprehensive analysis of the Civil Engineering services market in Casablanca, Morocco, with emphasis on current sales performance, demand drivers, and strategic opportunities. The Casablanca region continues to represent the most dynamic hub for infrastructure development across Morocco, accounting for 63% of all major civil engineering contracts awarded in the country during Q3 2023. Our firm has achieved a 28% year-over-year growth in Civil Engineer service sales within this market, driven by strategic partnerships with key developers and government entities. This document details critical market insights to optimize our sales strategy for sustained dominance in Morocco's premier economic center.</w:t>
      </w:r>
    </w:p>
    <w:bookmarkEnd w:id="20"/>
    <w:bookmarkStart w:id="21" w:name="Xab6d888b9a4c0d3e94a542b4d559dd61290ba18"/>
    <w:p>
      <w:pPr>
        <w:pStyle w:val="Heading2"/>
      </w:pPr>
      <w:r>
        <w:t xml:space="preserve">II. Market Context: Civil Engineering Demand in Casablanca, Morocco</w:t>
      </w:r>
    </w:p>
    <w:p>
      <w:pPr>
        <w:pStyle w:val="FirstParagraph"/>
      </w:pPr>
      <w:r>
        <w:t xml:space="preserve">Casablanca, as the commercial capital of Morocco and home to 37% of the nation's industrial output, has experienced unprecedented infrastructure investment. The Moroccan government's "National Investment Plan 2021-2025" allocates $8.4 billion specifically for Casablanca metropolitan zone projects, including transportation networks, urban renewal initiatives, and sustainable housing developments. This represents a 41% increase in infrastructure funding compared to the previous five-year plan.</w:t>
      </w:r>
    </w:p>
    <w:p>
      <w:pPr>
        <w:pStyle w:val="BodyText"/>
      </w:pPr>
      <w:r>
        <w:t xml:space="preserve">The demand for qualified Civil Engineers has surged as project timelines compress. According to the Ministry of Transport's Q3 2023 report, over 127 ongoing infrastructure projects in Casablanca require civil engineering oversight—up from 89 projects in Q3 2021. Key drivers include:</w:t>
      </w:r>
    </w:p>
    <w:p>
      <w:pPr>
        <w:numPr>
          <w:ilvl w:val="0"/>
          <w:numId w:val="1001"/>
        </w:numPr>
        <w:pStyle w:val="Compact"/>
      </w:pPr>
      <w:r>
        <w:t xml:space="preserve">The $560 million Casablanca-Salé Rapid Transit Network expansion</w:t>
      </w:r>
    </w:p>
    <w:p>
      <w:pPr>
        <w:numPr>
          <w:ilvl w:val="0"/>
          <w:numId w:val="1001"/>
        </w:numPr>
        <w:pStyle w:val="Compact"/>
      </w:pPr>
      <w:r>
        <w:t xml:space="preserve">Renovation of the historic Dar el Makhzen district into a cultural-commercial hub</w:t>
      </w:r>
    </w:p>
    <w:p>
      <w:pPr>
        <w:numPr>
          <w:ilvl w:val="0"/>
          <w:numId w:val="1001"/>
        </w:numPr>
        <w:pStyle w:val="Compact"/>
      </w:pPr>
      <w:r>
        <w:t xml:space="preserve">Construction of 12,000 new social housing units along the city's northern coastline</w:t>
      </w:r>
    </w:p>
    <w:bookmarkEnd w:id="21"/>
    <w:bookmarkStart w:id="22" w:name="X4cf851a4a15b5459d5f9e43beed9b105ba18d7f"/>
    <w:p>
      <w:pPr>
        <w:pStyle w:val="Heading2"/>
      </w:pPr>
      <w:r>
        <w:t xml:space="preserve">III. Sales Performance Analysis: Civil Engineer Service Contracts (Q3 2023)</w:t>
      </w:r>
    </w:p>
    <w:p>
      <w:pPr>
        <w:pStyle w:val="FirstParagraph"/>
      </w:pPr>
      <w:r>
        <w:t xml:space="preserve">This section quantifies our firm's market position within Morocco's Casablanca civil engineering sector:</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Civil Engineering Contracts Secured</w:t>
      </w:r>
    </w:p>
    <w:p>
      <w:pPr>
        <w:pStyle w:val="BodyText"/>
      </w:pPr>
      <w:r>
        <w:t xml:space="preserve">47</w:t>
      </w:r>
    </w:p>
    <w:p>
      <w:pPr>
        <w:pStyle w:val="BodyText"/>
      </w:pPr>
      <w:r>
        <w:t xml:space="preserve">36</w:t>
      </w:r>
    </w:p>
    <w:p>
      <w:pPr>
        <w:pStyle w:val="BodyText"/>
      </w:pPr>
      <w:r>
        <w:t xml:space="preserve">+30.6%</w:t>
      </w:r>
    </w:p>
    <w:p>
      <w:pPr>
        <w:pStyle w:val="BodyText"/>
      </w:pPr>
      <w:r>
        <w:t xml:space="preserve">Total Contract Value (MAD)</w:t>
      </w:r>
    </w:p>
    <w:p>
      <w:pPr>
        <w:pStyle w:val="BodyText"/>
      </w:pPr>
      <w:r>
        <w:t xml:space="preserve">1,285.4M</w:t>
      </w:r>
    </w:p>
    <w:p>
      <w:pPr>
        <w:pStyle w:val="BodyText"/>
      </w:pPr>
      <w:r>
        <w:t xml:space="preserve">&lt;</w:t>
      </w:r>
    </w:p>
    <w:p>
      <w:pPr>
        <w:pStyle w:val="BodyText"/>
      </w:pPr>
      <w:r>
        <w:t xml:space="preserve">972.1M</w:t>
      </w:r>
    </w:p>
    <w:p>
      <w:pPr>
        <w:pStyle w:val="BodyText"/>
      </w:pPr>
      <w:r>
        <w:t xml:space="preserve">Casablanca Region Dominance</w:t>
      </w:r>
    </w:p>
    <w:p>
      <w:pPr>
        <w:pStyle w:val="BodyText"/>
      </w:pPr>
      <w:r>
        <w:t xml:space="preserve">Casablanca Projects as % of Total Sales</w:t>
      </w:r>
    </w:p>
    <w:p>
      <w:pPr>
        <w:pStyle w:val="BodyText"/>
      </w:pPr>
      <w:r>
        <w:t xml:space="preserve">83%</w:t>
      </w:r>
    </w:p>
    <w:p>
      <w:pPr>
        <w:pStyle w:val="BodyText"/>
      </w:pPr>
      <w:r>
        <w:t xml:space="preserve">76%</w:t>
      </w:r>
    </w:p>
    <w:p>
      <w:pPr>
        <w:pStyle w:val="BodyText"/>
      </w:pPr>
      <w:r>
        <w:t xml:space="preserve">+7 pts</w:t>
      </w:r>
    </w:p>
    <w:p>
      <w:pPr>
        <w:pStyle w:val="BodyText"/>
      </w:pPr>
      <w:r>
        <w:t xml:space="preserve">Average Project Value (MAD)</w:t>
      </w:r>
    </w:p>
    <w:p>
      <w:pPr>
        <w:pStyle w:val="BodyText"/>
      </w:pPr>
      <w:r>
        <w:t xml:space="preserve">27.3M26.9M+1.5%</w:t>
      </w:r>
    </w:p>
    <w:p>
      <w:pPr>
        <w:pStyle w:val="BodyText"/>
      </w:pPr>
      <w:r>
        <w:t xml:space="preserve">The 30% year-over-year increase in contract volume demonstrates our strategic focus on Casablanca-based clients, including the Casablanca Finance City Authority, National Housing Agency (ANH), and major construction firms like BESIX Morocco. Notably, 62% of new contracts were secured through referrals from existing Civil Engineer clients—a testament to our service quality in Morocco's competitive market.</w:t>
      </w:r>
    </w:p>
    <w:bookmarkEnd w:id="22"/>
    <w:bookmarkStart w:id="23" w:name="X89d5b0dea247cf9494114041952fa991fe1ca8c"/>
    <w:p>
      <w:pPr>
        <w:pStyle w:val="Heading2"/>
      </w:pPr>
      <w:r>
        <w:t xml:space="preserve">IV. Competitive Landscape &amp; Market Positioning</w:t>
      </w:r>
    </w:p>
    <w:p>
      <w:pPr>
        <w:pStyle w:val="FirstParagraph"/>
      </w:pPr>
      <w:r>
        <w:t xml:space="preserve">While international firms (AECOM, Arcadis) maintain presence in Casablanca, local Moroccan engineering consultancies have struggled with capacity constraints due to the rapid project pipeline. This has created an opportunity for our firm's specialized Civil Engineer teams—comprising 38 certified professionals with expertise in seismic design (critical for Morocco's earthquake zones) and sustainable infrastructure development.</w:t>
      </w:r>
    </w:p>
    <w:p>
      <w:pPr>
        <w:pStyle w:val="BodyText"/>
      </w:pPr>
      <w:r>
        <w:t xml:space="preserve">Competitor analysis reveals key gaps we're addressing:</w:t>
      </w:r>
    </w:p>
    <w:p>
      <w:pPr>
        <w:numPr>
          <w:ilvl w:val="0"/>
          <w:numId w:val="1002"/>
        </w:numPr>
        <w:pStyle w:val="Compact"/>
      </w:pPr>
      <w:r>
        <w:rPr>
          <w:bCs/>
          <w:b/>
        </w:rPr>
        <w:t xml:space="preserve">Local Firms</w:t>
      </w:r>
      <w:r>
        <w:t xml:space="preserve">: Limited international project experience; average team size of 12 engineers (vs. our 38)</w:t>
      </w:r>
    </w:p>
    <w:p>
      <w:pPr>
        <w:numPr>
          <w:ilvl w:val="0"/>
          <w:numId w:val="1002"/>
        </w:numPr>
        <w:pStyle w:val="Compact"/>
      </w:pPr>
      <w:r>
        <w:rPr>
          <w:bCs/>
          <w:b/>
        </w:rPr>
        <w:t xml:space="preserve">Global Firms</w:t>
      </w:r>
      <w:r>
        <w:t xml:space="preserve">: Higher pricing structure (+22% premium); slower local adaptation to Moroccan regulatory frameworks</w:t>
      </w:r>
    </w:p>
    <w:p>
      <w:pPr>
        <w:pStyle w:val="FirstParagraph"/>
      </w:pPr>
      <w:r>
        <w:t xml:space="preserve">Our strategic advantage lies in our dual expertise: deep understanding of Moroccan building codes (including the latest CCM 10/05 standards) combined with modern engineering methodologies—critical for Civil Engineers navigating Casablanca's complex urban environments.</w:t>
      </w:r>
    </w:p>
    <w:bookmarkEnd w:id="23"/>
    <w:bookmarkStart w:id="24" w:name="Xf849a44de82d7f9b23cac668997c4207e5988cc"/>
    <w:p>
      <w:pPr>
        <w:pStyle w:val="Heading2"/>
      </w:pPr>
      <w:r>
        <w:t xml:space="preserve">V. Key Challenges &amp; Strategic Recommendations</w:t>
      </w:r>
    </w:p>
    <w:p>
      <w:pPr>
        <w:pStyle w:val="FirstParagraph"/>
      </w:pPr>
      <w:r>
        <w:t xml:space="preserve">Despite strong performance, three challenges require immediate attention in our Casablanca market strategy:</w:t>
      </w:r>
    </w:p>
    <w:p>
      <w:pPr>
        <w:numPr>
          <w:ilvl w:val="0"/>
          <w:numId w:val="1003"/>
        </w:numPr>
        <w:pStyle w:val="Compact"/>
      </w:pPr>
      <w:r>
        <w:rPr>
          <w:bCs/>
          <w:b/>
        </w:rPr>
        <w:t xml:space="preserve">Talent Acquisition Shortage</w:t>
      </w:r>
      <w:r>
        <w:t xml:space="preserve">: 74% of Moroccan Civil Engineers report working &gt;50 hours/week due to project demand (Moroccan Engineering Association survey). We recommend accelerating our local training program for university graduates.</w:t>
      </w:r>
    </w:p>
    <w:p>
      <w:pPr>
        <w:numPr>
          <w:ilvl w:val="0"/>
          <w:numId w:val="1003"/>
        </w:numPr>
        <w:pStyle w:val="Compact"/>
      </w:pPr>
      <w:r>
        <w:rPr>
          <w:bCs/>
          <w:b/>
        </w:rPr>
        <w:t xml:space="preserve">Regulatory Complexity</w:t>
      </w:r>
      <w:r>
        <w:t xml:space="preserve">: New urban planning laws require Civil Engineers to integrate additional sustainability metrics. Our sales team must now qualify clients on these technical requirements during initial consultations.</w:t>
      </w:r>
    </w:p>
    <w:p>
      <w:pPr>
        <w:numPr>
          <w:ilvl w:val="0"/>
          <w:numId w:val="1003"/>
        </w:numPr>
        <w:pStyle w:val="Compact"/>
      </w:pPr>
      <w:r>
        <w:rPr>
          <w:bCs/>
          <w:b/>
        </w:rPr>
        <w:t xml:space="preserve">Client Expectation Shifts</w:t>
      </w:r>
      <w:r>
        <w:t xml:space="preserve">: 68% of new contracts now include KPIs for social impact (e.g., local job creation), demanding tailored proposals from our Civil Engineer teams.</w:t>
      </w:r>
    </w:p>
    <w:p>
      <w:pPr>
        <w:pStyle w:val="FirstParagraph"/>
      </w:pPr>
      <w:r>
        <w:rPr>
          <w:bCs/>
          <w:b/>
        </w:rPr>
        <w:t xml:space="preserve">Strategic Recommendations:</w:t>
      </w:r>
    </w:p>
    <w:p>
      <w:pPr>
        <w:numPr>
          <w:ilvl w:val="0"/>
          <w:numId w:val="1004"/>
        </w:numPr>
        <w:pStyle w:val="Compact"/>
      </w:pPr>
      <w:r>
        <w:t xml:space="preserve">Develop specialized "Sustainable Casablanca" Civil Engineer training modules</w:t>
      </w:r>
    </w:p>
    <w:p>
      <w:pPr>
        <w:numPr>
          <w:ilvl w:val="0"/>
          <w:numId w:val="1004"/>
        </w:numPr>
        <w:pStyle w:val="Compact"/>
      </w:pPr>
      <w:r>
        <w:t xml:space="preserve">Launch a client portal for real-time project KPI tracking (addressing social impact requirements)</w:t>
      </w:r>
    </w:p>
    <w:p>
      <w:pPr>
        <w:numPr>
          <w:ilvl w:val="0"/>
          <w:numId w:val="1004"/>
        </w:numPr>
        <w:pStyle w:val="Compact"/>
      </w:pPr>
      <w:r>
        <w:t xml:space="preserve">Prioritize partnerships with Moroccan universities for talent pipeline development</w:t>
      </w:r>
    </w:p>
    <w:bookmarkEnd w:id="24"/>
    <w:bookmarkStart w:id="25" w:name="vi.-future-outlook-q4-2023---q1-2024"/>
    <w:p>
      <w:pPr>
        <w:pStyle w:val="Heading2"/>
      </w:pPr>
      <w:r>
        <w:t xml:space="preserve">VI. Future Outlook: Q4 2023 - Q1 2024</w:t>
      </w:r>
    </w:p>
    <w:p>
      <w:pPr>
        <w:pStyle w:val="FirstParagraph"/>
      </w:pPr>
      <w:r>
        <w:t xml:space="preserve">The Casablanca civil engineering market shows robust momentum heading into the new year. With Morocco's Vision 2030 targeting $18 billion in infrastructure investment across major cities, Casablanca is positioned to secure at least 35% of these funds through its ongoing projects. Our firm forecasts continued growth due to:</w:t>
      </w:r>
    </w:p>
    <w:p>
      <w:pPr>
        <w:numPr>
          <w:ilvl w:val="0"/>
          <w:numId w:val="1005"/>
        </w:numPr>
        <w:pStyle w:val="Compact"/>
      </w:pPr>
      <w:r>
        <w:t xml:space="preserve">Approval of the $2.1 billion Casablanca-Tangier high-speed rail corridor</w:t>
      </w:r>
    </w:p>
    <w:p>
      <w:pPr>
        <w:numPr>
          <w:ilvl w:val="0"/>
          <w:numId w:val="1005"/>
        </w:numPr>
        <w:pStyle w:val="Compact"/>
      </w:pPr>
      <w:r>
        <w:t xml:space="preserve">Expansion of the Aïn Chock industrial zone requiring extensive civil works</w:t>
      </w:r>
    </w:p>
    <w:p>
      <w:pPr>
        <w:numPr>
          <w:ilvl w:val="0"/>
          <w:numId w:val="1005"/>
        </w:numPr>
        <w:pStyle w:val="Compact"/>
      </w:pPr>
      <w:r>
        <w:t xml:space="preserve">Government incentives for green building certifications (LEED, BREEAM) in new projects</w:t>
      </w:r>
    </w:p>
    <w:p>
      <w:pPr>
        <w:pStyle w:val="FirstParagraph"/>
      </w:pPr>
      <w:r>
        <w:t xml:space="preserve">We project a minimum 25% sales growth for Civil Engineering services in Casablanca through Q1 2024, positioning us to capture over 30% market share—a significant jump from our current 19%. This will require focused resource allocation toward Morocco's most promising development corridors while maintaining our premium service quality that distinguishes us in the competitive Casablanca marketplace.</w:t>
      </w:r>
    </w:p>
    <w:bookmarkEnd w:id="25"/>
    <w:bookmarkStart w:id="26" w:name="vii.-conclusion"/>
    <w:p>
      <w:pPr>
        <w:pStyle w:val="Heading2"/>
      </w:pPr>
      <w:r>
        <w:t xml:space="preserve">VII. Conclusion</w:t>
      </w:r>
    </w:p>
    <w:p>
      <w:pPr>
        <w:pStyle w:val="FirstParagraph"/>
      </w:pPr>
      <w:r>
        <w:t xml:space="preserve">This Sales Report confirms that Civil Engineering services represent one of the most promising revenue streams for our firm within Morocco, with Casablanca serving as the critical growth engine. Our data-driven approach to targeting infrastructure projects aligned with Morocco's national development priorities has proven effective in securing high-value contracts. To maintain leadership, we must continue adapting our service offerings to evolving requirements while capitalizing on the unique dynamics of the Casablanca market—where urban transformation and economic ambition converge at unprecedented scale.</w:t>
      </w:r>
    </w:p>
    <w:p>
      <w:pPr>
        <w:pStyle w:val="BodyText"/>
      </w:pPr>
      <w:r>
        <w:rPr>
          <w:iCs/>
          <w:i/>
        </w:rPr>
        <w:t xml:space="preserve">Prepared by: Strategic Market Intelligence Team | Moroccan Engineering Solutions | 12 Avenue Mohammed V, Casablanca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Sales Performance Report: Casablanca, Morocco</dc:title>
  <dc:creator/>
  <dc:language>en</dc:language>
  <cp:keywords/>
  <dcterms:created xsi:type="dcterms:W3CDTF">2026-07-23T08:10:30Z</dcterms:created>
  <dcterms:modified xsi:type="dcterms:W3CDTF">2026-07-23T08:10:30Z</dcterms:modified>
</cp:coreProperties>
</file>

<file path=docProps/custom.xml><?xml version="1.0" encoding="utf-8"?>
<Properties xmlns="http://schemas.openxmlformats.org/officeDocument/2006/custom-properties" xmlns:vt="http://schemas.openxmlformats.org/officeDocument/2006/docPropsVTypes"/>
</file>