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Talent</w:t>
      </w:r>
      <w:r>
        <w:t xml:space="preserve"> </w:t>
      </w:r>
      <w:r>
        <w:t xml:space="preserve">Acquisition</w:t>
      </w:r>
      <w:r>
        <w:t xml:space="preserve"> </w:t>
      </w:r>
      <w:r>
        <w:t xml:space="preserve">&amp;</w:t>
      </w:r>
      <w:r>
        <w:t xml:space="preserve"> </w:t>
      </w:r>
      <w:r>
        <w:t xml:space="preserve">Market</w:t>
      </w:r>
      <w:r>
        <w:t xml:space="preserve"> </w:t>
      </w:r>
      <w:r>
        <w:t xml:space="preserve">Strategy</w:t>
      </w:r>
      <w:r>
        <w:t xml:space="preserve"> </w:t>
      </w:r>
      <w:r>
        <w:t xml:space="preserve">in</w:t>
      </w:r>
      <w:r>
        <w:t xml:space="preserve"> </w:t>
      </w:r>
      <w:r>
        <w:t xml:space="preserve">Barcelona,</w:t>
      </w:r>
      <w:r>
        <w:t xml:space="preserve"> </w:t>
      </w:r>
      <w:r>
        <w:t xml:space="preserve">Spain</w:t>
      </w:r>
    </w:p>
    <w:bookmarkStart w:id="27" w:name="Xbd682756cf589ad8b0bd70144dadbb319340e85"/>
    <w:p>
      <w:pPr>
        <w:pStyle w:val="Heading1"/>
      </w:pPr>
      <w:r>
        <w:t xml:space="preserve">Comprehensive Sales Report: Strategic Positioning of Civil Engineering Services in Barcelona,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Division</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market dynamics, and strategic opportunities for Civil Engineering services within the Barcelona construction sector in Spain. Barcelona remains a critical growth engine for infrastructure development across Catalonia, with a 14% YoY increase in civil engineering project procurement identified this quarter. Our sales pipeline demonstrates strong demand for specialized</w:t>
      </w:r>
      <w:r>
        <w:t xml:space="preserve"> </w:t>
      </w:r>
      <w:r>
        <w:rPr>
          <w:iCs/>
          <w:i/>
        </w:rPr>
        <w:t xml:space="preserve">Civil Engineer</w:t>
      </w:r>
      <w:r>
        <w:t xml:space="preserve"> </w:t>
      </w:r>
      <w:r>
        <w:t xml:space="preserve">talent and integrated engineering solutions, directly impacting our market share position within</w:t>
      </w:r>
      <w:r>
        <w:t xml:space="preserve"> </w:t>
      </w:r>
      <w:r>
        <w:rPr>
          <w:bCs/>
          <w:b/>
        </w:rPr>
        <w:t xml:space="preserve">Spain Barcelona</w:t>
      </w:r>
      <w:r>
        <w:t xml:space="preserve">'s competitive landscape. This report confirms that targeted sales initiatives centered on Civil Engineering expertise yield the highest conversion rates in Barcelona's commercial construction market.</w:t>
      </w:r>
    </w:p>
    <w:bookmarkEnd w:id="20"/>
    <w:bookmarkStart w:id="21" w:name="X172f30aedbea4a23cf583b3530e97c015de9468"/>
    <w:p>
      <w:pPr>
        <w:pStyle w:val="Heading2"/>
      </w:pPr>
      <w:r>
        <w:t xml:space="preserve">II. Market Analysis: Spain Barcelona Construction Sector Overview</w:t>
      </w:r>
    </w:p>
    <w:p>
      <w:pPr>
        <w:pStyle w:val="FirstParagraph"/>
      </w:pPr>
      <w:r>
        <w:t xml:space="preserve">Barcelona’s economy, driven by tourism, logistics, and urban development, continues to fuel a robust demand for civil engineering services. Key projects influencing our sales trajectory include the Fira Montjuïc expansion (adjacent to the Olympic Zone), the Barceloneta Beach Renewal Project (funded by EU Cohesion Funds), and the ongoing Poblenou Smart City infrastructure upgrades. According to Barcelona City Council’s 2023 Infrastructure Report, over €1.8 billion is allocated for civil works in 2023–2024 alone, with a 7% increase in tendering activity compared to Q3 2022.</w:t>
      </w:r>
    </w:p>
    <w:p>
      <w:pPr>
        <w:pStyle w:val="BodyText"/>
      </w:pPr>
      <w:r>
        <w:t xml:space="preserve">The demand for certified</w:t>
      </w:r>
      <w:r>
        <w:t xml:space="preserve"> </w:t>
      </w:r>
      <w:r>
        <w:rPr>
          <w:iCs/>
          <w:i/>
        </w:rPr>
        <w:t xml:space="preserve">Civil Engineer</w:t>
      </w:r>
      <w:r>
        <w:t xml:space="preserve"> </w:t>
      </w:r>
      <w:r>
        <w:t xml:space="preserve">professionals exceeds local supply by approximately 18%, creating a significant sales opportunity. This scarcity directly impacts our ability to fulfill large-scale project contracts, making strategic talent acquisition a core sales driver. Our analysis shows that clients in Barcelona prioritize firms with proven experience in Spanish regulatory frameworks (Código Técnico de la Edificación, CTE) and local municipal permitting processes—areas where we hold a distinct competitive edge.</w:t>
      </w:r>
    </w:p>
    <w:bookmarkEnd w:id="21"/>
    <w:bookmarkStart w:id="22" w:name="X51ba8f09448a64ff53f3472a5f93032c6182be9"/>
    <w:p>
      <w:pPr>
        <w:pStyle w:val="Heading2"/>
      </w:pPr>
      <w:r>
        <w:t xml:space="preserve">III. Sales Performance Highlights: Civil Engineering Focus</w:t>
      </w:r>
    </w:p>
    <w:p>
      <w:pPr>
        <w:pStyle w:val="FirstParagraph"/>
      </w:pPr>
      <w:r>
        <w:t xml:space="preserve">Our dedicated</w:t>
      </w:r>
      <w:r>
        <w:t xml:space="preserve"> </w:t>
      </w:r>
      <w:r>
        <w:rPr>
          <w:bCs/>
          <w:b/>
        </w:rPr>
        <w:t xml:space="preserve">Civil Engineer</w:t>
      </w:r>
      <w:r>
        <w:t xml:space="preserve"> </w:t>
      </w:r>
      <w:r>
        <w:t xml:space="preserve">sales team achieved a 32% year-over-year growth in contract value within the Barcelona market during Q3, outperforming the regional average of 19%. Key wins include:</w:t>
      </w:r>
    </w:p>
    <w:p>
      <w:pPr>
        <w:numPr>
          <w:ilvl w:val="0"/>
          <w:numId w:val="1001"/>
        </w:numPr>
        <w:pStyle w:val="Compact"/>
      </w:pPr>
      <w:r>
        <w:rPr>
          <w:iCs/>
          <w:i/>
        </w:rPr>
        <w:t xml:space="preserve">Renovation of Sagrada Família Access Infrastructure</w:t>
      </w:r>
      <w:r>
        <w:t xml:space="preserve">: €850K contract secured through targeted technical proposals addressing seismic resilience per Catalan building codes.</w:t>
      </w:r>
    </w:p>
    <w:p>
      <w:pPr>
        <w:numPr>
          <w:ilvl w:val="0"/>
          <w:numId w:val="1001"/>
        </w:numPr>
        <w:pStyle w:val="Compact"/>
      </w:pPr>
      <w:r>
        <w:rPr>
          <w:iCs/>
          <w:i/>
        </w:rPr>
        <w:t xml:space="preserve">Diagonal Mar Water Management System Upgrade</w:t>
      </w:r>
      <w:r>
        <w:t xml:space="preserve">: €1.2M project won against two international competitors by emphasizing local regulatory compliance and Barcelona-specific hydrology expertise.</w:t>
      </w:r>
    </w:p>
    <w:p>
      <w:pPr>
        <w:numPr>
          <w:ilvl w:val="0"/>
          <w:numId w:val="1001"/>
        </w:numPr>
        <w:pStyle w:val="Compact"/>
      </w:pPr>
      <w:r>
        <w:rPr>
          <w:iCs/>
          <w:i/>
        </w:rPr>
        <w:t xml:space="preserve">Poblenou Sustainable Transport Corridor</w:t>
      </w:r>
      <w:r>
        <w:t xml:space="preserve">: Framework agreement with the Barcelona City Council’s Urban Development Office for recurring engineering services (€500K/quarter).</w:t>
      </w:r>
    </w:p>
    <w:p>
      <w:pPr>
        <w:pStyle w:val="FirstParagraph"/>
      </w:pPr>
      <w:r>
        <w:t xml:space="preserve">These deals underscore a critical sales insight: in</w:t>
      </w:r>
      <w:r>
        <w:t xml:space="preserve"> </w:t>
      </w:r>
      <w:r>
        <w:rPr>
          <w:bCs/>
          <w:b/>
        </w:rPr>
        <w:t xml:space="preserve">Spain Barcelona</w:t>
      </w:r>
      <w:r>
        <w:t xml:space="preserve">, clients prioritize understanding of *local context* over generic technical expertise. Our sales strategy now integrates Civil Engineering site visits to Barcelona locations (e.g., Port Vell, Montjuïc) during client presentations—a practice adopted after Q2 feedback that increased proposal acceptance by 27%.</w:t>
      </w:r>
    </w:p>
    <w:bookmarkEnd w:id="22"/>
    <w:bookmarkStart w:id="23" w:name="Xd33bbaffb10341cafcbbf8b548cb1bfff70f30b"/>
    <w:p>
      <w:pPr>
        <w:pStyle w:val="Heading2"/>
      </w:pPr>
      <w:r>
        <w:t xml:space="preserve">IV. Competitive Landscape in Spain Barcelona</w:t>
      </w:r>
    </w:p>
    <w:p>
      <w:pPr>
        <w:pStyle w:val="FirstParagraph"/>
      </w:pPr>
      <w:r>
        <w:t xml:space="preserve">Barcelona’s civil engineering market features three primary competitor tiers:</w:t>
      </w:r>
    </w:p>
    <w:p>
      <w:pPr>
        <w:numPr>
          <w:ilvl w:val="0"/>
          <w:numId w:val="1002"/>
        </w:numPr>
        <w:pStyle w:val="Compact"/>
      </w:pPr>
      <w:r>
        <w:rPr>
          <w:bCs/>
          <w:b/>
        </w:rPr>
        <w:t xml:space="preserve">Local Firms (e.g., Arquitectura y Construcción Barcelona):</w:t>
      </w:r>
      <w:r>
        <w:t xml:space="preserve"> </w:t>
      </w:r>
      <w:r>
        <w:t xml:space="preserve">Strong municipal relationships but limited capacity for complex international projects.</w:t>
      </w:r>
    </w:p>
    <w:p>
      <w:pPr>
        <w:numPr>
          <w:ilvl w:val="0"/>
          <w:numId w:val="1002"/>
        </w:numPr>
        <w:pStyle w:val="Compact"/>
      </w:pPr>
      <w:r>
        <w:rPr>
          <w:bCs/>
          <w:b/>
        </w:rPr>
        <w:t xml:space="preserve">National Spanish Firms (e.g., FCC Group):</w:t>
      </w:r>
      <w:r>
        <w:t xml:space="preserve"> </w:t>
      </w:r>
      <w:r>
        <w:t xml:space="preserve">Broad project portfolios; competitive on price, weak on hyper-localized technical solutions.</w:t>
      </w:r>
    </w:p>
    <w:p>
      <w:pPr>
        <w:numPr>
          <w:ilvl w:val="0"/>
          <w:numId w:val="1002"/>
        </w:numPr>
        <w:pStyle w:val="Compact"/>
      </w:pPr>
      <w:r>
        <w:rPr>
          <w:bCs/>
          <w:b/>
        </w:rPr>
        <w:t xml:space="preserve">International Firms (e.g., AECOM, Arcadis):</w:t>
      </w:r>
      <w:r>
        <w:t xml:space="preserve"> </w:t>
      </w:r>
      <w:r>
        <w:t xml:space="preserve">Strong global reputation but face challenges with Spanish permitting and cultural alignment.</w:t>
      </w:r>
    </w:p>
    <w:p>
      <w:pPr>
        <w:pStyle w:val="FirstParagraph"/>
      </w:pPr>
      <w:r>
        <w:t xml:space="preserve">Our unique sales proposition—</w:t>
      </w:r>
      <w:r>
        <w:rPr>
          <w:iCs/>
          <w:i/>
        </w:rPr>
        <w:t xml:space="preserve">"Barcelona-Certified Civil Engineering Solutions"</w:t>
      </w:r>
      <w:r>
        <w:t xml:space="preserve">—positions us between tiers 2 and 3. Clients specifically cite our ability to navigate Barcelona’s municipal approval processes (e.g., Ajuntament de Barcelona’s Urban Planning Department) as the decisive factor in purchase decisions. In Q3, 89% of won deals cited this capability.</w:t>
      </w:r>
    </w:p>
    <w:bookmarkEnd w:id="23"/>
    <w:bookmarkStart w:id="24" w:name="v.-challenges-strategic-recommendations"/>
    <w:p>
      <w:pPr>
        <w:pStyle w:val="Heading2"/>
      </w:pPr>
      <w:r>
        <w:t xml:space="preserve">V. Challenges &amp; Strategic Recommendations</w:t>
      </w:r>
    </w:p>
    <w:p>
      <w:pPr>
        <w:pStyle w:val="FirstParagraph"/>
      </w:pPr>
      <w:r>
        <w:rPr>
          <w:bCs/>
          <w:b/>
        </w:rPr>
        <w:t xml:space="preserve">Key Challenge:</w:t>
      </w:r>
      <w:r>
        <w:t xml:space="preserve"> </w:t>
      </w:r>
      <w:r>
        <w:t xml:space="preserve">Regulatory complexity within</w:t>
      </w:r>
      <w:r>
        <w:t xml:space="preserve"> </w:t>
      </w:r>
      <w:r>
        <w:rPr>
          <w:bCs/>
          <w:b/>
        </w:rPr>
        <w:t xml:space="preserve">Spain Barcelona</w:t>
      </w:r>
      <w:r>
        <w:t xml:space="preserve">'s urban zones (e.g., heritage protections in El Born district) slows project start dates, causing client churn. Our sales data shows 43% of pipeline delays are tied to engineering permitting bottlenecks.</w:t>
      </w:r>
    </w:p>
    <w:p>
      <w:pPr>
        <w:pStyle w:val="BodyText"/>
      </w:pPr>
      <w:r>
        <w:rPr>
          <w:bCs/>
          <w:b/>
        </w:rPr>
        <w:t xml:space="preserve">Sales Strategy Recommendations:</w:t>
      </w:r>
    </w:p>
    <w:p>
      <w:pPr>
        <w:numPr>
          <w:ilvl w:val="0"/>
          <w:numId w:val="1003"/>
        </w:numPr>
        <w:pStyle w:val="Compact"/>
      </w:pPr>
      <w:r>
        <w:rPr>
          <w:iCs/>
          <w:i/>
        </w:rPr>
        <w:t xml:space="preserve">Develop a "Barcelona Permitting Accelerator" Package:</w:t>
      </w:r>
      <w:r>
        <w:t xml:space="preserve"> </w:t>
      </w:r>
      <w:r>
        <w:t xml:space="preserve">Bundle Civil Engineering services with dedicated municipal liaison support, reducing approval timelines by 25–30% (based on pilot data). This will be our primary sales differentiator in Q4.</w:t>
      </w:r>
    </w:p>
    <w:p>
      <w:pPr>
        <w:numPr>
          <w:ilvl w:val="0"/>
          <w:numId w:val="1003"/>
        </w:numPr>
        <w:pStyle w:val="Compact"/>
      </w:pPr>
      <w:r>
        <w:rPr>
          <w:iCs/>
          <w:i/>
        </w:rPr>
        <w:t xml:space="preserve">Forge Partnerships with Barcelona Technical Universities:</w:t>
      </w:r>
      <w:r>
        <w:t xml:space="preserve"> </w:t>
      </w:r>
      <w:r>
        <w:t xml:space="preserve">Collaborate with UPC (Universitat Politècnica de Catalunya) for talent pipelines. Sales teams will co-host "Urban Engineering Workshops" to attract clients seeking cutting-edge, locally validated solutions.</w:t>
      </w:r>
    </w:p>
    <w:p>
      <w:pPr>
        <w:numPr>
          <w:ilvl w:val="0"/>
          <w:numId w:val="1003"/>
        </w:numPr>
        <w:pStyle w:val="Compact"/>
      </w:pPr>
      <w:r>
        <w:rPr>
          <w:iCs/>
          <w:i/>
        </w:rPr>
        <w:t xml:space="preserve">Localize Digital Sales Tools:</w:t>
      </w:r>
      <w:r>
        <w:t xml:space="preserve"> </w:t>
      </w:r>
      <w:r>
        <w:t xml:space="preserve">Integrate Barcelona-specific geospatial data (e.g., 3D city models from Barcelona City Council) into our proposal platform. This technical customization increased lead conversion by 19% in Q3.</w:t>
      </w:r>
    </w:p>
    <w:bookmarkEnd w:id="24"/>
    <w:bookmarkStart w:id="25" w:name="vi.-financial-impact-forecast"/>
    <w:p>
      <w:pPr>
        <w:pStyle w:val="Heading2"/>
      </w:pPr>
      <w:r>
        <w:t xml:space="preserve">VI. Financial Impact &amp; Forecast</w:t>
      </w:r>
    </w:p>
    <w:p>
      <w:pPr>
        <w:pStyle w:val="FirstParagraph"/>
      </w:pPr>
      <w:r>
        <w:t xml:space="preserve">Our Civil Engineering sales in Barcelona contributed €4.6M to total quarterly revenue (58% of regional pipeline value). With the implementation of the above strategies, we project a 22% increase in Civil Engineering contract wins by Q1 2024. Critical investments include:</w:t>
      </w:r>
    </w:p>
    <w:p>
      <w:pPr>
        <w:numPr>
          <w:ilvl w:val="0"/>
          <w:numId w:val="1004"/>
        </w:numPr>
        <w:pStyle w:val="Compact"/>
      </w:pPr>
      <w:r>
        <w:t xml:space="preserve">€150K allocation for Barcelona municipal liaison specialist roles</w:t>
      </w:r>
    </w:p>
    <w:p>
      <w:pPr>
        <w:numPr>
          <w:ilvl w:val="0"/>
          <w:numId w:val="1004"/>
        </w:numPr>
        <w:pStyle w:val="Compact"/>
      </w:pPr>
      <w:r>
        <w:t xml:space="preserve">€75K for localized digital sales platform enhancements</w:t>
      </w:r>
    </w:p>
    <w:p>
      <w:pPr>
        <w:pStyle w:val="FirstParagraph"/>
      </w:pPr>
      <w:r>
        <w:t xml:space="preserve">These investments align with the market’s high value per project—average Civil Engineering contract size in Barcelona is €286,000 versus €142,000 nationally.</w:t>
      </w:r>
    </w:p>
    <w:bookmarkEnd w:id="25"/>
    <w:bookmarkStart w:id="26" w:name="vii.-conclusion"/>
    <w:p>
      <w:pPr>
        <w:pStyle w:val="Heading2"/>
      </w:pPr>
      <w:r>
        <w:t xml:space="preserve">VII. Conclusion</w:t>
      </w:r>
    </w:p>
    <w:p>
      <w:pPr>
        <w:pStyle w:val="FirstParagraph"/>
      </w:pPr>
      <w:r>
        <w:t xml:space="preserve">The data unequivocally confirms that strategic sales focus on</w:t>
      </w:r>
      <w:r>
        <w:t xml:space="preserve"> </w:t>
      </w:r>
      <w:r>
        <w:rPr>
          <w:iCs/>
          <w:i/>
        </w:rPr>
        <w:t xml:space="preserve">Civil Engineer</w:t>
      </w:r>
      <w:r>
        <w:t xml:space="preserve"> </w:t>
      </w:r>
      <w:r>
        <w:t xml:space="preserve">talent and Barcelona-specific engineering solutions is the most profitable growth vector in Spain’s construction market. Our Q3 results validate that understanding local regulatory nuances, project typologies (e.g., heritage-sensitive urban renewal), and municipal workflows directly translates to higher win rates and contract value. As Barcelona accelerates its 2030 Urban Agenda initiatives—from climate-resilient infrastructure to digital smart city integration—the demand for contextually intelligent Civil Engineering services will only intensify. This Sales Report recommends full-scale resource allocation to our Barcelona Civil Engineering sales initiative, positioning us as the region’s premier partner for engineered solutions.</w:t>
      </w:r>
    </w:p>
    <w:p>
      <w:pPr>
        <w:pStyle w:val="BodyText"/>
      </w:pPr>
      <w:r>
        <w:rPr>
          <w:bCs/>
          <w:b/>
        </w:rPr>
        <w:t xml:space="preserve">Prepared By:</w:t>
      </w:r>
      <w:r>
        <w:t xml:space="preserve"> </w:t>
      </w:r>
      <w:r>
        <w:t xml:space="preserve">Global Sales Intelligence Division</w:t>
      </w:r>
      <w:r>
        <w:br/>
      </w:r>
      <w:r>
        <w:rPr>
          <w:bCs/>
          <w:b/>
        </w:rPr>
        <w:t xml:space="preserve">Confidentiality:</w:t>
      </w:r>
      <w:r>
        <w:t xml:space="preserve"> </w:t>
      </w:r>
      <w:r>
        <w:t xml:space="preserve">Internal Use Only – Spain Barcelona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Talent Acquisition &amp; Market Strategy in Barcelona, Spain</dc:title>
  <dc:creator/>
  <dc:language>en</dc:language>
  <cp:keywords/>
  <dcterms:created xsi:type="dcterms:W3CDTF">2026-09-27T08:56:05Z</dcterms:created>
  <dcterms:modified xsi:type="dcterms:W3CDTF">2026-09-27T08:56:05Z</dcterms:modified>
</cp:coreProperties>
</file>

<file path=docProps/custom.xml><?xml version="1.0" encoding="utf-8"?>
<Properties xmlns="http://schemas.openxmlformats.org/officeDocument/2006/custom-properties" xmlns:vt="http://schemas.openxmlformats.org/officeDocument/2006/docPropsVTypes"/>
</file>