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Ankara</w:t>
      </w:r>
      <w:r>
        <w:t xml:space="preserve"> </w:t>
      </w:r>
      <w:r>
        <w:t xml:space="preserve">Market</w:t>
      </w:r>
    </w:p>
    <w:bookmarkStart w:id="26" w:name="Xa248d8b936dd715f1f70ae923ea1e7db71a97d2"/>
    <w:p>
      <w:pPr>
        <w:pStyle w:val="Heading1"/>
      </w:pPr>
      <w:r>
        <w:t xml:space="preserve">2024 Q3 Sales Performance Report: Civil Engineering Services in Turkey Ankara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Management, Global Infrastructure Division</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the performance of Civil Engineering services delivered across Turkey Ankara during the third quarter of 2024. As Ankara continues to serve as the epicenter of Turkey's infrastructure expansion, our Civil Engineer teams have demonstrated exceptional market penetration and revenue growth. The report confirms that strategic focus on high-impact urban development projects in Ankara has driven a 18.7% year-over-year increase in service sales, significantly outpacing regional averages. This success is directly attributable to the technical excellence of our Civil Engineers and their deep understanding of Ankara's unique geological and regulatory landscape.</w:t>
      </w:r>
    </w:p>
    <w:bookmarkEnd w:id="20"/>
    <w:bookmarkStart w:id="21" w:name="ii.-turkey-ankara-market-analysis"/>
    <w:p>
      <w:pPr>
        <w:pStyle w:val="Heading2"/>
      </w:pPr>
      <w:r>
        <w:t xml:space="preserve">II. Turkey Ankara Market Analysis</w:t>
      </w:r>
    </w:p>
    <w:p>
      <w:pPr>
        <w:pStyle w:val="FirstParagraph"/>
      </w:pPr>
      <w:r>
        <w:t xml:space="preserve">Ankara's construction sector remains the backbone of Turkey's economic growth, with government initiatives like "Ankara 2030 Vision" accelerating demand for resilient infrastructure. The city's rapid urbanization (projected 5% annual population growth) and seismic risk profile necessitate advanced Civil Engineering solutions. Key market drivers include:</w:t>
      </w:r>
    </w:p>
    <w:p>
      <w:pPr>
        <w:numPr>
          <w:ilvl w:val="0"/>
          <w:numId w:val="1001"/>
        </w:numPr>
        <w:pStyle w:val="Compact"/>
      </w:pPr>
      <w:r>
        <w:rPr>
          <w:bCs/>
          <w:b/>
        </w:rPr>
        <w:t xml:space="preserve">Public Sector Investment:</w:t>
      </w:r>
      <w:r>
        <w:t xml:space="preserve"> </w:t>
      </w:r>
      <w:r>
        <w:t xml:space="preserve">₺18.7 billion allocated to Ankara metro extensions, highway networks, and flood mitigation systems in Q3 2024 (TÜİK Data).</w:t>
      </w:r>
    </w:p>
    <w:p>
      <w:pPr>
        <w:numPr>
          <w:ilvl w:val="0"/>
          <w:numId w:val="1001"/>
        </w:numPr>
        <w:pStyle w:val="Compact"/>
      </w:pPr>
      <w:r>
        <w:rPr>
          <w:bCs/>
          <w:b/>
        </w:rPr>
        <w:t xml:space="preserve">Private Development Boom:</w:t>
      </w:r>
      <w:r>
        <w:t xml:space="preserve"> </w:t>
      </w:r>
      <w:r>
        <w:t xml:space="preserve">12 major commercial complexes approved in Çankaya and Kızılcahamam districts, requiring specialized Civil Engineer oversight.</w:t>
      </w:r>
    </w:p>
    <w:p>
      <w:pPr>
        <w:numPr>
          <w:ilvl w:val="0"/>
          <w:numId w:val="1001"/>
        </w:numPr>
        <w:pStyle w:val="Compact"/>
      </w:pPr>
      <w:r>
        <w:rPr>
          <w:bCs/>
          <w:b/>
        </w:rPr>
        <w:t xml:space="preserve">Regulatory Evolution:</w:t>
      </w:r>
      <w:r>
        <w:t xml:space="preserve"> </w:t>
      </w:r>
      <w:r>
        <w:t xml:space="preserve">New Turkish Standards (TS 500-2023) for earthquake-resistant structures created immediate demand for certified Civil Engineering expertise in Ankara.</w:t>
      </w:r>
    </w:p>
    <w:p>
      <w:pPr>
        <w:pStyle w:val="FirstParagraph"/>
      </w:pPr>
      <w:r>
        <w:t xml:space="preserve">The strategic positioning of our Civil Engineers within this market has proven critical. Unlike generic engineering firms, our teams possess on-the-ground knowledge of Ankara's clay-rich soil conditions and seasonal rainfall patterns – factors directly impacting project viability and budgeting.</w:t>
      </w:r>
    </w:p>
    <w:bookmarkEnd w:id="21"/>
    <w:bookmarkStart w:id="22" w:name="X6c24a2f86e6abb16948beff963ca28832dddf31"/>
    <w:p>
      <w:pPr>
        <w:pStyle w:val="Heading2"/>
      </w:pPr>
      <w:r>
        <w:t xml:space="preserve">III. Sales Performance: Civil Engineer Service Portfolio</w:t>
      </w:r>
    </w:p>
    <w:p>
      <w:pPr>
        <w:pStyle w:val="FirstParagraph"/>
      </w:pPr>
      <w:r>
        <w:t xml:space="preserve">This quarter, our Civil Engineer services generated ₺9.8 million in direct revenue (18.7% YoY growth), with 73% coming from Ankara-based contracts. Key service lines driving sales include:</w:t>
      </w:r>
    </w:p>
    <w:p>
      <w:pPr>
        <w:pStyle w:val="BodyText"/>
      </w:pPr>
      <w:r>
        <w:t xml:space="preserve">Service Line</w:t>
      </w:r>
    </w:p>
    <w:p>
      <w:pPr>
        <w:pStyle w:val="BodyText"/>
      </w:pPr>
      <w:r>
        <w:t xml:space="preserve">Revenue (₺)</w:t>
      </w:r>
    </w:p>
    <w:p>
      <w:pPr>
        <w:pStyle w:val="BodyText"/>
      </w:pPr>
      <w:r>
        <w:t xml:space="preserve">% of Total Ankara Sales</w:t>
      </w:r>
    </w:p>
    <w:p>
      <w:pPr>
        <w:pStyle w:val="BodyText"/>
      </w:pPr>
      <w:r>
        <w:t xml:space="preserve">Key Projects (Ankara)</w:t>
      </w:r>
    </w:p>
    <w:p>
      <w:pPr>
        <w:pStyle w:val="BodyText"/>
      </w:pPr>
      <w:r>
        <w:t xml:space="preserve">Structural Design &amp; Analysis</w:t>
      </w:r>
    </w:p>
    <w:p>
      <w:pPr>
        <w:pStyle w:val="BodyText"/>
      </w:pPr>
      <w:r>
        <w:t xml:space="preserve">3,850,000</w:t>
      </w:r>
    </w:p>
    <w:p>
      <w:pPr>
        <w:pStyle w:val="BodyText"/>
      </w:pPr>
      <w:r>
        <w:t xml:space="preserve">39.3%</w:t>
      </w:r>
    </w:p>
    <w:p>
      <w:pPr>
        <w:pStyle w:val="BodyText"/>
      </w:pPr>
      <w:r>
        <w:t xml:space="preserve">Ankara Metro Line 6 Expansion; Kızılay Plaza Renovation</w:t>
      </w:r>
    </w:p>
    <w:p>
      <w:pPr>
        <w:pStyle w:val="BodyText"/>
      </w:pPr>
      <w:r>
        <w:t xml:space="preserve">Geotechnical Engineering</w:t>
      </w:r>
    </w:p>
    <w:p>
      <w:pPr>
        <w:pStyle w:val="BodyText"/>
      </w:pPr>
      <w:r>
        <w:t xml:space="preserve">2,475,000</w:t>
      </w:r>
    </w:p>
    <w:p>
      <w:pPr>
        <w:pStyle w:val="BodyText"/>
      </w:pPr>
      <w:r>
        <w:rPr>
          <w:bCs/>
          <w:b/>
        </w:rPr>
        <w:t xml:space="preserve">25.2%</w:t>
      </w:r>
    </w:p>
    <w:p>
      <w:pPr>
        <w:pStyle w:val="BodyText"/>
      </w:pPr>
      <w:r>
        <w:t xml:space="preserve">Ovapınar Earthquake Resilience Project; Çubuk Dam Safety Assessment</w:t>
      </w:r>
    </w:p>
    <w:p>
      <w:pPr>
        <w:pStyle w:val="BodyText"/>
      </w:pPr>
      <w:r>
        <w:t xml:space="preserve">Sustainable Infrastructure Planning</w:t>
      </w:r>
    </w:p>
    <w:p>
      <w:pPr>
        <w:pStyle w:val="BodyText"/>
      </w:pPr>
      <w:r>
        <w:t xml:space="preserve">1,960,000</w:t>
      </w:r>
    </w:p>
    <w:p>
      <w:pPr>
        <w:pStyle w:val="BodyText"/>
      </w:pPr>
      <w:r>
        <w:t xml:space="preserve">20.0%</w:t>
      </w:r>
    </w:p>
    <w:p>
      <w:pPr>
        <w:pStyle w:val="BodyText"/>
      </w:pPr>
      <w:r>
        <w:t xml:space="preserve">Ankara Green Corridor Network; Etimesgut Solar Park Integration</w:t>
      </w:r>
    </w:p>
    <w:p>
      <w:pPr>
        <w:pStyle w:val="BodyText"/>
      </w:pPr>
      <w:r>
        <w:t xml:space="preserve">Construction Supervision</w:t>
      </w:r>
    </w:p>
    <w:p>
      <w:pPr>
        <w:pStyle w:val="BodyText"/>
      </w:pPr>
      <w:r>
        <w:t xml:space="preserve">1,515,000</w:t>
      </w:r>
    </w:p>
    <w:p>
      <w:pPr>
        <w:pStyle w:val="BodyText"/>
      </w:pPr>
      <w:r>
        <w:t xml:space="preserve">15.4%</w:t>
      </w:r>
    </w:p>
    <w:p>
      <w:pPr>
        <w:pStyle w:val="BodyText"/>
      </w:pPr>
      <w:r>
        <w:t xml:space="preserve">Hacı Bayram Veli University Campus; Ankara-Bolu Highway Interchange</w:t>
      </w:r>
    </w:p>
    <w:p>
      <w:pPr>
        <w:pStyle w:val="BodyText"/>
      </w:pPr>
      <w:r>
        <w:t xml:space="preserve">The Civil Engineer-driven sales model has proven highly effective: 87% of new clients (including municipal bodies and private developers) cited our engineers' site-specific expertise as the decisive factor in selection. Notably, the Geotechnical Engineering segment saw 32% growth due to urgent need for soil stability assessments across Ankara's expanding northern districts.</w:t>
      </w:r>
    </w:p>
    <w:bookmarkEnd w:id="22"/>
    <w:bookmarkStart w:id="23" w:name="X568dc32e53cda77befe6cc27056c5dac8d963f5"/>
    <w:p>
      <w:pPr>
        <w:pStyle w:val="Heading2"/>
      </w:pPr>
      <w:r>
        <w:t xml:space="preserve">IV. Strategic Advantages in Turkey Ankara Market</w:t>
      </w:r>
    </w:p>
    <w:p>
      <w:pPr>
        <w:pStyle w:val="FirstParagraph"/>
      </w:pPr>
      <w:r>
        <w:t xml:space="preserve">Our Civil Engineers maintain a competitive edge through three market-specific advantages:</w:t>
      </w:r>
    </w:p>
    <w:p>
      <w:pPr>
        <w:numPr>
          <w:ilvl w:val="0"/>
          <w:numId w:val="1002"/>
        </w:numPr>
        <w:pStyle w:val="Compact"/>
      </w:pPr>
      <w:r>
        <w:rPr>
          <w:bCs/>
          <w:b/>
        </w:rPr>
        <w:t xml:space="preserve">Local Regulatory Mastery:</w:t>
      </w:r>
      <w:r>
        <w:t xml:space="preserve"> </w:t>
      </w:r>
      <w:r>
        <w:t xml:space="preserve">All Ankara-based Civil Engineers hold active Turkish Engineering Council (Mühendislik ve Mimarlık Kurumu) certifications and maintain direct liaisons with Ankara Metropolitan Municipality's Urban Planning Department.</w:t>
      </w:r>
    </w:p>
    <w:p>
      <w:pPr>
        <w:numPr>
          <w:ilvl w:val="0"/>
          <w:numId w:val="1002"/>
        </w:numPr>
        <w:pStyle w:val="Compact"/>
      </w:pPr>
      <w:r>
        <w:rPr>
          <w:bCs/>
          <w:b/>
        </w:rPr>
        <w:t xml:space="preserve">Seismic Resilience Expertise:</w:t>
      </w:r>
      <w:r>
        <w:t xml:space="preserve"> </w:t>
      </w:r>
      <w:r>
        <w:t xml:space="preserve">Specialized training in TS EN 1998-1 standards for Ankara's high-risk seismic zones (Zone 2, Category D) directly translated to winning contracts requiring advanced foundation systems.</w:t>
      </w:r>
    </w:p>
    <w:p>
      <w:pPr>
        <w:numPr>
          <w:ilvl w:val="0"/>
          <w:numId w:val="1002"/>
        </w:numPr>
        <w:pStyle w:val="Compact"/>
      </w:pPr>
      <w:r>
        <w:rPr>
          <w:bCs/>
          <w:b/>
        </w:rPr>
        <w:t xml:space="preserve">Cultural Integration:</w:t>
      </w:r>
      <w:r>
        <w:t xml:space="preserve"> </w:t>
      </w:r>
      <w:r>
        <w:t xml:space="preserve">Civil Engineers fluent in Turkish and versed in local procurement protocols (e.g., TÜRKPAK tender processes) expedite project approval cycles by 27% versus international competitors.</w:t>
      </w:r>
    </w:p>
    <w:bookmarkEnd w:id="23"/>
    <w:bookmarkStart w:id="24" w:name="v.-challenges-opportunity-assessment"/>
    <w:p>
      <w:pPr>
        <w:pStyle w:val="Heading2"/>
      </w:pPr>
      <w:r>
        <w:t xml:space="preserve">V. Challenges &amp; Opportunity Assessment</w:t>
      </w:r>
    </w:p>
    <w:p>
      <w:pPr>
        <w:pStyle w:val="FirstParagraph"/>
      </w:pPr>
      <w:r>
        <w:t xml:space="preserve">While the Ankara market presents significant opportunity, two challenges require strategic response:</w:t>
      </w:r>
    </w:p>
    <w:p>
      <w:pPr>
        <w:numPr>
          <w:ilvl w:val="0"/>
          <w:numId w:val="1003"/>
        </w:numPr>
        <w:pStyle w:val="Compact"/>
      </w:pPr>
      <w:r>
        <w:rPr>
          <w:bCs/>
          <w:b/>
        </w:rPr>
        <w:t xml:space="preserve">Seasonal Workload Peaks:</w:t>
      </w:r>
      <w:r>
        <w:t xml:space="preserve"> </w:t>
      </w:r>
      <w:r>
        <w:t xml:space="preserve">Winter construction pauses in Ankara (December-February) create revenue volatility. *Recommendation: Develop pre-winter "Ankara Urban Renewal Package" for Q4 sales.</w:t>
      </w:r>
    </w:p>
    <w:p>
      <w:pPr>
        <w:numPr>
          <w:ilvl w:val="0"/>
          <w:numId w:val="1003"/>
        </w:numPr>
        <w:pStyle w:val="Compact"/>
      </w:pPr>
      <w:r>
        <w:rPr>
          <w:bCs/>
          <w:b/>
        </w:rPr>
        <w:t xml:space="preserve">Talent Retention:</w:t>
      </w:r>
      <w:r>
        <w:t xml:space="preserve"> </w:t>
      </w:r>
      <w:r>
        <w:t xml:space="preserve">High demand for specialized Civil Engineers in Ankara outpaces local supply. *Recommendation: Partner with Middle East Technical University (METU) for targeted recruitment and training programs.</w:t>
      </w:r>
    </w:p>
    <w:p>
      <w:pPr>
        <w:pStyle w:val="FirstParagraph"/>
      </w:pPr>
      <w:r>
        <w:t xml:space="preserve">The opportunity to lead Ankara's infrastructure modernization remains unparalleled. With Turkey's 2023 Infrastructure Development Plan allocating ₺145 billion to Central Anatolia (including Ankara), our Civil Engineers are positioned as essential revenue drivers. The current sales pipeline shows 37 active proposals valued at ₺14.2 million for Q4, with the highest concentration in sustainable water management systems – a priority under Ankara's "Water Security Strategy 2035".</w:t>
      </w:r>
    </w:p>
    <w:bookmarkEnd w:id="24"/>
    <w:bookmarkStart w:id="25" w:name="vi.-conclusion-forward-strategy"/>
    <w:p>
      <w:pPr>
        <w:pStyle w:val="Heading2"/>
      </w:pPr>
      <w:r>
        <w:t xml:space="preserve">VI. Conclusion &amp; Forward Strategy</w:t>
      </w:r>
    </w:p>
    <w:p>
      <w:pPr>
        <w:pStyle w:val="FirstParagraph"/>
      </w:pPr>
      <w:r>
        <w:t xml:space="preserve">This Sales Report conclusively demonstrates that Civil Engineer services are not merely technical offerings but revenue catalysts for our firm in Turkey Ankara. The city's infrastructure ambitions demand specialized engineering expertise, and our teams have consistently delivered value through site-specific solutions that align with Ankara's unique development challenges.</w:t>
      </w:r>
    </w:p>
    <w:p>
      <w:pPr>
        <w:pStyle w:val="BodyText"/>
      </w:pPr>
      <w:r>
        <w:t xml:space="preserve">For the final quarter of 2024, we recommend:</w:t>
      </w:r>
    </w:p>
    <w:p>
      <w:pPr>
        <w:numPr>
          <w:ilvl w:val="0"/>
          <w:numId w:val="1004"/>
        </w:numPr>
        <w:pStyle w:val="Compact"/>
      </w:pPr>
      <w:r>
        <w:t xml:space="preserve">Establishing a dedicated "Ankara Civil Engineering Solutions Hub" to streamline project delivery across municipal and private sectors</w:t>
      </w:r>
    </w:p>
    <w:p>
      <w:pPr>
        <w:numPr>
          <w:ilvl w:val="0"/>
          <w:numId w:val="1004"/>
        </w:numPr>
        <w:pStyle w:val="Compact"/>
      </w:pPr>
      <w:r>
        <w:t xml:space="preserve">Developing an Ankara-specific sales playbook highlighting seismic engineering case studies (e.g., successful redesign of Eryaman district bridges)</w:t>
      </w:r>
    </w:p>
    <w:p>
      <w:pPr>
        <w:numPr>
          <w:ilvl w:val="0"/>
          <w:numId w:val="1004"/>
        </w:numPr>
        <w:pStyle w:val="Compact"/>
      </w:pPr>
      <w:r>
        <w:t xml:space="preserve">Targeting 25% revenue growth in Geotechnical Engineering through partnership with Ankara-based soil testing laboratories</w:t>
      </w:r>
    </w:p>
    <w:p>
      <w:pPr>
        <w:pStyle w:val="FirstParagraph"/>
      </w:pPr>
      <w:r>
        <w:t xml:space="preserve">The investment in specialized Civil Engineer talent within Turkey Ankara has yielded exceptional returns. As the capital city continues its transformation, our engineering services remain the most reliable engine for sustainable sales growth. We project that by Q1 2025, Ankara will account for 38% of our total Turkish revenue – a testament to the strategic alignment between Civil Engineer capabilities and Ankara's development needs.</w:t>
      </w:r>
    </w:p>
    <w:p>
      <w:pPr>
        <w:pStyle w:val="BodyText"/>
      </w:pPr>
      <w:r>
        <w:rPr>
          <w:bCs/>
          <w:b/>
        </w:rPr>
        <w:t xml:space="preserve">Prepared By:</w:t>
      </w:r>
      <w:r>
        <w:t xml:space="preserve"> </w:t>
      </w:r>
      <w:r>
        <w:t xml:space="preserve">Global Infrastructure Sales Leadership |</w:t>
      </w:r>
      <w:r>
        <w:t xml:space="preserve"> </w:t>
      </w:r>
      <w:r>
        <w:rPr>
          <w:bCs/>
          <w:b/>
        </w:rPr>
        <w:t xml:space="preserve">Verified Against:</w:t>
      </w:r>
      <w:r>
        <w:t xml:space="preserve"> </w:t>
      </w:r>
      <w:r>
        <w:t xml:space="preserve">Ankara Chamber of Commerce &amp; Industry (ACCI) Construction Sector Database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Performance Report: Turkey Ankara Market</dc:title>
  <dc:creator/>
  <dc:language>en</dc:language>
  <cp:keywords/>
  <dcterms:created xsi:type="dcterms:W3CDTF">2026-07-21T11:43:01Z</dcterms:created>
  <dcterms:modified xsi:type="dcterms:W3CDTF">2026-07-21T11:43:01Z</dcterms:modified>
</cp:coreProperties>
</file>

<file path=docProps/custom.xml><?xml version="1.0" encoding="utf-8"?>
<Properties xmlns="http://schemas.openxmlformats.org/officeDocument/2006/custom-properties" xmlns:vt="http://schemas.openxmlformats.org/officeDocument/2006/docPropsVTypes"/>
</file>