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31" w:name="X4cf32694d220d2f686989f62dbce3b238dbfe5a"/>
    <w:p>
      <w:pPr>
        <w:pStyle w:val="Heading1"/>
      </w:pPr>
      <w:r>
        <w:t xml:space="preserve">Comprehensive Sales Report: Civil Engineering Services in Turkey Istanbul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EcoBuild Solutions International</w:t>
      </w:r>
      <w:r>
        <w:br/>
      </w:r>
      <w:r>
        <w:rPr>
          <w:bCs/>
          <w:b/>
        </w:rPr>
        <w:t xml:space="preserve">Report Scope:</w:t>
      </w:r>
      <w:r>
        <w:t xml:space="preserve"> </w:t>
      </w:r>
      <w:r>
        <w:t xml:space="preserve">Market Performance Analysis of Civil Engineering Services in Istanbul, Turkey</w:t>
      </w:r>
    </w:p>
    <w:bookmarkStart w:id="20" w:name="i.-executive-summary"/>
    <w:p>
      <w:pPr>
        <w:pStyle w:val="Heading2"/>
      </w:pPr>
      <w:r>
        <w:t xml:space="preserve">I. Executive Summary</w:t>
      </w:r>
    </w:p>
    <w:p>
      <w:pPr>
        <w:pStyle w:val="FirstParagraph"/>
      </w:pPr>
      <w:r>
        <w:t xml:space="preserve">The Istanbul construction market continues to demonstrate robust growth trajectory, driving significant demand for specialized civil engineering services. This Sales Report details a 14.7% year-over-year increase in service contracts secured by our firm within Turkey Istanbul's dynamic urban landscape during Q3 2023. The city's status as Turkey's economic hub and global transportation nexus remains the primary catalyst, with major infrastructure projects, seismic retrofitting mandates, and sustainable development initiatives fueling consistent client acquisition. Our strategic focus on high-value civil engineering solutions tailored to Istanbul's unique geotechnical challenges has positioned us as a preferred partner for both municipal authorities and private developers.</w:t>
      </w:r>
    </w:p>
    <w:bookmarkEnd w:id="20"/>
    <w:bookmarkStart w:id="21" w:name="Xcd0047aa35fd713b41a6d5f568f8174bc307a53"/>
    <w:p>
      <w:pPr>
        <w:pStyle w:val="Heading2"/>
      </w:pPr>
      <w:r>
        <w:t xml:space="preserve">II. Market Context: Why Istanbul Drives Civil Engineering Demand</w:t>
      </w:r>
    </w:p>
    <w:p>
      <w:pPr>
        <w:pStyle w:val="FirstParagraph"/>
      </w:pPr>
      <w:r>
        <w:t xml:space="preserve">Istanbul, Turkey's largest city and cultural heartland, faces unprecedented infrastructure pressure. With a population exceeding 16 million residents and a metropolitan area spanning two continents, the city requires continuous civil engineering innovation to manage growth while mitigating seismic risks. The Turkish government's "Istanbul Development Plan 2030" prioritizes transportation corridors (e.g., Marmaray expansion, Istanbul Canal project), waterfront revitalization (Bosphorus coastlines), and climate-resilient urban housing—creating an unparalleled market for certified civil engineers. Our Sales Report confirms that 68% of new projects in Turkey Istanbul now mandate third-party civil engineering oversight per updated TS 500 seismic codes, directly boosting service demand.</w:t>
      </w:r>
    </w:p>
    <w:bookmarkEnd w:id="21"/>
    <w:bookmarkStart w:id="26" w:name="Xcad84a6060b2322423cb4c5fb2a743f117b9dcf"/>
    <w:p>
      <w:pPr>
        <w:pStyle w:val="Heading2"/>
      </w:pPr>
      <w:r>
        <w:t xml:space="preserve">III. Sales Performance Breakdown: Key Revenue Streams</w:t>
      </w:r>
    </w:p>
    <w:bookmarkStart w:id="22" w:name="X1eeca78597c1100bdb4254188580faaf66044e6"/>
    <w:p>
      <w:pPr>
        <w:pStyle w:val="Heading3"/>
      </w:pPr>
      <w:r>
        <w:t xml:space="preserve">A. Infrastructure Project Management (42% of Q3 Revenue)</w:t>
      </w:r>
    </w:p>
    <w:p>
      <w:pPr>
        <w:pStyle w:val="FirstParagraph"/>
      </w:pPr>
      <w:r>
        <w:t xml:space="preserve">Major contracts secured include:</w:t>
      </w:r>
      <w:r>
        <w:t xml:space="preserve"> </w:t>
      </w:r>
      <w:r>
        <w:t xml:space="preserve">• The 15km Tavşantepe-Bakırköy Metro Line extension for Istanbul Metropolitan Municipality (€8.7M)</w:t>
      </w:r>
      <w:r>
        <w:t xml:space="preserve"> </w:t>
      </w:r>
      <w:r>
        <w:t xml:space="preserve">• Geotechnical assessment and foundation design for the new Yenikapı-Cibali Floating Bridge (€3.2M)</w:t>
      </w:r>
      <w:r>
        <w:t xml:space="preserve"> </w:t>
      </w:r>
      <w:r>
        <w:t xml:space="preserve">• Drainage system overhaul along the historic Fatih district waterways (€1.9M)</w:t>
      </w:r>
    </w:p>
    <w:p>
      <w:pPr>
        <w:pStyle w:val="BodyText"/>
      </w:pPr>
      <w:r>
        <w:t xml:space="preserve">These projects highlight our civil engineers' expertise in navigating Istanbul's complex soil conditions and preserving historical structures—a critical differentiator in a market where 41% of bids require heritage sensitivity certifications.</w:t>
      </w:r>
    </w:p>
    <w:bookmarkEnd w:id="22"/>
    <w:bookmarkStart w:id="23" w:name="X9d88ab574243672dd7da3042e368f8ce072cc8f"/>
    <w:p>
      <w:pPr>
        <w:pStyle w:val="Heading3"/>
      </w:pPr>
      <w:r>
        <w:t xml:space="preserve">B. Seismic Retrofitting Services (28% of Revenue)</w:t>
      </w:r>
    </w:p>
    <w:p>
      <w:pPr>
        <w:pStyle w:val="FirstParagraph"/>
      </w:pPr>
      <w:r>
        <w:t xml:space="preserve">Driven by Turkey's mandatory building code updates post-2023 earthquakes, retrofitting demand surged. Our Istanbul office closed 9 contracts with residential complexes across Kadıköy and Ümraniye zones, totaling €5.1M. The Sales Report emphasizes our proprietary "Istanbul Resilience Framework," which integrates real-time seismic data from local monitoring stations—accelerating approval timelines by 30% compared to industry averages.</w:t>
      </w:r>
    </w:p>
    <w:bookmarkEnd w:id="23"/>
    <w:bookmarkStart w:id="24" w:name="X0e571d01b43f37637f87ef622b1fb22a7743c86"/>
    <w:p>
      <w:pPr>
        <w:pStyle w:val="Heading3"/>
      </w:pPr>
      <w:r>
        <w:t xml:space="preserve">C. Sustainable Urban Development (20% of Revenue)</w:t>
      </w:r>
    </w:p>
    <w:p>
      <w:pPr>
        <w:pStyle w:val="FirstParagraph"/>
      </w:pPr>
      <w:r>
        <w:t xml:space="preserve">With Istanbul targeting net-zero carbon by 2045, our civil engineers led:</w:t>
      </w:r>
      <w:r>
        <w:t xml:space="preserve"> </w:t>
      </w:r>
      <w:r>
        <w:t xml:space="preserve">• Green infrastructure planning for the new Küçükçekmece Eco-District (€4.5M)</w:t>
      </w:r>
      <w:r>
        <w:t xml:space="preserve"> </w:t>
      </w:r>
      <w:r>
        <w:t xml:space="preserve">• Carbon-neutral material sourcing strategy for the Istanbul International Airport expansion</w:t>
      </w:r>
      <w:r>
        <w:t xml:space="preserve"> </w:t>
      </w:r>
      <w:r>
        <w:t xml:space="preserve">• Stormwater management systems using permeable pavements in Beyoğlu's public squares</w:t>
      </w:r>
    </w:p>
    <w:p>
      <w:pPr>
        <w:pStyle w:val="BodyText"/>
      </w:pPr>
      <w:r>
        <w:t xml:space="preserve">These projects attracted ESG-focused clients, including European development banks with 20% higher profit margins than traditional contracts.</w:t>
      </w:r>
    </w:p>
    <w:bookmarkEnd w:id="24"/>
    <w:bookmarkStart w:id="25" w:name="X41490e3f4804836db6fcf1f7c62166d365815bb"/>
    <w:p>
      <w:pPr>
        <w:pStyle w:val="Heading3"/>
      </w:pPr>
      <w:r>
        <w:t xml:space="preserve">D. Regulatory Compliance &amp; Permitting (10% of Revenue)</w:t>
      </w:r>
    </w:p>
    <w:p>
      <w:pPr>
        <w:pStyle w:val="FirstParagraph"/>
      </w:pPr>
      <w:r>
        <w:t xml:space="preserve">A critical niche: Istanbul's complex permitting ecosystem. Our civil engineers streamlined approvals for 17 projects through the "Istanbul Construction Portal," reducing wait times from 6 months to 45 days—directly contributing to our competitive edge in a market where bureaucratic delays cost developers ~€2,300/day per site.</w:t>
      </w:r>
    </w:p>
    <w:bookmarkEnd w:id="25"/>
    <w:bookmarkEnd w:id="26"/>
    <w:bookmarkStart w:id="27" w:name="Xab9568bee9fd59c72153fa08811c36e342a268e"/>
    <w:p>
      <w:pPr>
        <w:pStyle w:val="Heading2"/>
      </w:pPr>
      <w:r>
        <w:t xml:space="preserve">IV. Competitive Positioning in Istanbul's Civil Engineering Market</w:t>
      </w:r>
    </w:p>
    <w:p>
      <w:pPr>
        <w:pStyle w:val="FirstParagraph"/>
      </w:pPr>
      <w:r>
        <w:t xml:space="preserve">Istanbul’s civil engineering sector is highly specialized with only 37% of firms possessing full licensing for high-risk projects (Istanbul Chamber of Civil Engineers, 2023). Our Sales Report identifies three strategic advantages:</w:t>
      </w:r>
    </w:p>
    <w:p>
      <w:pPr>
        <w:numPr>
          <w:ilvl w:val="0"/>
          <w:numId w:val="1001"/>
        </w:numPr>
        <w:pStyle w:val="Compact"/>
      </w:pPr>
      <w:r>
        <w:rPr>
          <w:bCs/>
          <w:b/>
        </w:rPr>
        <w:t xml:space="preserve">Localized Expertise:</w:t>
      </w:r>
      <w:r>
        <w:t xml:space="preserve"> </w:t>
      </w:r>
      <w:r>
        <w:t xml:space="preserve">All project managers hold Turkish Civil Engineering Association (MTB) certifications and speak fluent Turkish, essential for stakeholder engagement with municipal bodies like Istanbul Metropolitan Municipality (İBB).</w:t>
      </w:r>
    </w:p>
    <w:p>
      <w:pPr>
        <w:numPr>
          <w:ilvl w:val="0"/>
          <w:numId w:val="1001"/>
        </w:numPr>
        <w:pStyle w:val="Compact"/>
      </w:pPr>
      <w:r>
        <w:rPr>
          <w:bCs/>
          <w:b/>
        </w:rPr>
        <w:t xml:space="preserve">Technology Integration:</w:t>
      </w:r>
      <w:r>
        <w:t xml:space="preserve"> </w:t>
      </w:r>
      <w:r>
        <w:t xml:space="preserve">Our use of BIM 360 and GIS mapping tailored to Istanbul's fault lines provides clients actionable risk analytics unavailable from generic engineering firms.</w:t>
      </w:r>
    </w:p>
    <w:p>
      <w:pPr>
        <w:numPr>
          <w:ilvl w:val="0"/>
          <w:numId w:val="1001"/>
        </w:numPr>
        <w:pStyle w:val="Compact"/>
      </w:pPr>
      <w:r>
        <w:rPr>
          <w:bCs/>
          <w:b/>
        </w:rPr>
        <w:t xml:space="preserve">Seismic Resilience Focus:</w:t>
      </w:r>
      <w:r>
        <w:t xml:space="preserve"> </w:t>
      </w:r>
      <w:r>
        <w:t xml:space="preserve">Post-2023 earthquake protocols make our "Istanbul-Specific Seismic Assessment" methodology a non-negotiable requirement for 89% of new bids.</w:t>
      </w:r>
    </w:p>
    <w:bookmarkEnd w:id="27"/>
    <w:bookmarkStart w:id="28" w:name="v.-challenges-strategic-response"/>
    <w:p>
      <w:pPr>
        <w:pStyle w:val="Heading2"/>
      </w:pPr>
      <w:r>
        <w:t xml:space="preserve">V. Challenges &amp; Strategic Response</w:t>
      </w:r>
    </w:p>
    <w:p>
      <w:pPr>
        <w:pStyle w:val="FirstParagraph"/>
      </w:pPr>
      <w:r>
        <w:t xml:space="preserve">The Sales Report identifies two key challenges:</w:t>
      </w:r>
    </w:p>
    <w:p>
      <w:pPr>
        <w:numPr>
          <w:ilvl w:val="0"/>
          <w:numId w:val="1002"/>
        </w:numPr>
        <w:pStyle w:val="Compact"/>
      </w:pPr>
      <w:r>
        <w:rPr>
          <w:bCs/>
          <w:b/>
        </w:rPr>
        <w:t xml:space="preserve">Material Cost Volatility:</w:t>
      </w:r>
      <w:r>
        <w:t xml:space="preserve"> </w:t>
      </w:r>
      <w:r>
        <w:t xml:space="preserve">Steel and cement prices rose 18% YoY in Turkey. Our solution: Long-term contracts with Istanbul-based suppliers (e.g., Erdemir) securing fixed rates, maintaining project margins.</w:t>
      </w:r>
    </w:p>
    <w:p>
      <w:pPr>
        <w:numPr>
          <w:ilvl w:val="0"/>
          <w:numId w:val="1002"/>
        </w:numPr>
        <w:pStyle w:val="Compact"/>
      </w:pPr>
      <w:r>
        <w:rPr>
          <w:bCs/>
          <w:b/>
        </w:rPr>
        <w:t xml:space="preserve">Talent Shortage:</w:t>
      </w:r>
      <w:r>
        <w:t xml:space="preserve"> </w:t>
      </w:r>
      <w:r>
        <w:t xml:space="preserve">Competition for licensed civil engineers in Istanbul is fierce (35% vacancy rate). Our countermeasure: Partnerships with Yıldız Technical University for targeted internships and our "Istanbul Engineer Development Program," reducing recruitment costs by 27%.</w:t>
      </w:r>
    </w:p>
    <w:bookmarkEnd w:id="28"/>
    <w:bookmarkStart w:id="29" w:name="X6e031b4e09b35aa2dc2c3dd6e5a1bdbad6434fe"/>
    <w:p>
      <w:pPr>
        <w:pStyle w:val="Heading2"/>
      </w:pPr>
      <w:r>
        <w:t xml:space="preserve">VI. Future Outlook &amp; Strategic Recommendations</w:t>
      </w:r>
    </w:p>
    <w:p>
      <w:pPr>
        <w:pStyle w:val="FirstParagraph"/>
      </w:pPr>
      <w:r>
        <w:t xml:space="preserve">Based on current pipeline analysis, we project a 19% revenue increase for Turkey Istanbul in Q4 2023 through:</w:t>
      </w:r>
    </w:p>
    <w:p>
      <w:pPr>
        <w:numPr>
          <w:ilvl w:val="0"/>
          <w:numId w:val="1003"/>
        </w:numPr>
        <w:pStyle w:val="Compact"/>
      </w:pPr>
      <w:r>
        <w:t xml:space="preserve">Pursuing the €17M "Istanbul Bay Bridge" feasibility study (awarded to us as preferred bidder)</w:t>
      </w:r>
    </w:p>
    <w:p>
      <w:pPr>
        <w:numPr>
          <w:ilvl w:val="0"/>
          <w:numId w:val="1003"/>
        </w:numPr>
        <w:pStyle w:val="Compact"/>
      </w:pPr>
      <w:r>
        <w:t xml:space="preserve">Developing an AI-driven flood prediction tool for Istanbul's coastal districts (partnering with Bogazici University)</w:t>
      </w:r>
    </w:p>
    <w:p>
      <w:pPr>
        <w:pStyle w:val="FirstParagraph"/>
      </w:pPr>
      <w:r>
        <w:t xml:space="preserve">Recommendation: Allocate 20% of Q4 R&amp;D budget to accelerate our "Istanbul Urban Resilience Platform" – a digital toolkit combining civil engineering data, climate models, and real-time sensor networks. This positions EcoBuild Solutions as the definitive civil engineering partner for Turkey's most complex city.</w:t>
      </w:r>
    </w:p>
    <w:bookmarkEnd w:id="29"/>
    <w:bookmarkStart w:id="30" w:name="vii.-conclusion"/>
    <w:p>
      <w:pPr>
        <w:pStyle w:val="Heading2"/>
      </w:pPr>
      <w:r>
        <w:t xml:space="preserve">VII. Conclusion</w:t>
      </w:r>
    </w:p>
    <w:p>
      <w:pPr>
        <w:pStyle w:val="FirstParagraph"/>
      </w:pPr>
      <w:r>
        <w:t xml:space="preserve">The Istanbul construction market remains the cornerstone of our growth strategy in Turkey. Civil engineers are not merely service providers here—they are urban resilience architects, seismic risk mitigators, and sustainability enablers. This Sales Report confirms that firms delivering specialized civil engineering solutions with deep local knowledge capture premium contracts in Istanbul's high-stakes environment. As the city transitions from reconstruction to innovation-driven development, our ability to solve Istanbul-specific challenges will define our market leadership for the next decade.</w:t>
      </w:r>
    </w:p>
    <w:p>
      <w:pPr>
        <w:pStyle w:val="BodyText"/>
      </w:pPr>
      <w:r>
        <w:rPr>
          <w:bCs/>
          <w:b/>
        </w:rPr>
        <w:t xml:space="preserve">Prepared By:</w:t>
      </w:r>
      <w:r>
        <w:t xml:space="preserve"> </w:t>
      </w:r>
      <w:r>
        <w:t xml:space="preserve">Ali Özdemir, Director of Sales &amp; Business Development - Turkey Region</w:t>
      </w:r>
      <w:r>
        <w:br/>
      </w:r>
      <w:r>
        <w:rPr>
          <w:bCs/>
          <w:b/>
        </w:rPr>
        <w:t xml:space="preserve">Contact:</w:t>
      </w:r>
      <w:r>
        <w:t xml:space="preserve"> </w:t>
      </w:r>
      <w:r>
        <w:t xml:space="preserve">a.ozdemir@ecobuildsolutions.int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Report: Turkey Istanbul Market Analysis</dc:title>
  <dc:creator/>
  <dc:language>en</dc:language>
  <cp:keywords/>
  <dcterms:created xsi:type="dcterms:W3CDTF">2026-07-23T05:37:53Z</dcterms:created>
  <dcterms:modified xsi:type="dcterms:W3CDTF">2026-07-23T05:37:53Z</dcterms:modified>
</cp:coreProperties>
</file>

<file path=docProps/custom.xml><?xml version="1.0" encoding="utf-8"?>
<Properties xmlns="http://schemas.openxmlformats.org/officeDocument/2006/custom-properties" xmlns:vt="http://schemas.openxmlformats.org/officeDocument/2006/docPropsVTypes"/>
</file>