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cb1fe959466e76cfc0f763056731549e337c171"/>
    <w:p>
      <w:pPr>
        <w:pStyle w:val="Heading1"/>
      </w:pPr>
      <w:r>
        <w:t xml:space="preserve">CIVIL ENGINEERING SALES PERFORMANCE REPORT: ABU DHABI,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Stakeholders</w:t>
      </w:r>
      <w:r>
        <w:br/>
      </w:r>
      <w:r>
        <w:rPr>
          <w:bCs/>
          <w:b/>
        </w:rPr>
        <w:t xml:space="preserve">Geographic Focus:</w:t>
      </w:r>
      <w:r>
        <w:t xml:space="preserve"> </w:t>
      </w:r>
      <w:r>
        <w:t xml:space="preserve">Abu Dhabi, United Arab Emirates (UAE)</w:t>
      </w:r>
    </w:p>
    <w:bookmarkStart w:id="20" w:name="i.-executive-summary"/>
    <w:p>
      <w:pPr>
        <w:pStyle w:val="Heading2"/>
      </w:pPr>
      <w:r>
        <w:t xml:space="preserve">I. Executive Summary</w:t>
      </w:r>
    </w:p>
    <w:p>
      <w:pPr>
        <w:pStyle w:val="FirstParagraph"/>
      </w:pPr>
      <w:r>
        <w:t xml:space="preserve">This report details the sales performance and strategic impact of Civil Engineering services across the United Arab Emirates, with a concentrated focus on Abu Dhabi's dynamic infrastructure market. The Civil Engineer team has been instrumental in securing critical contracts totaling AED 185 million (USD 50.5 million) during Q3 2023, representing a 22% year-over-year growth in project acquisition. This success underscores the pivotal role of specialized civil engineering expertise in capturing Abu Dhabi's booming construction sector, driven by Vision 2030 initiatives and mega-projects like Al Dhafra Solar Farm Phase II and the New Capital City development.</w:t>
      </w:r>
    </w:p>
    <w:bookmarkEnd w:id="20"/>
    <w:bookmarkStart w:id="21" w:name="Xb32e66a8385bb8633933930742b7eca1275bc38"/>
    <w:p>
      <w:pPr>
        <w:pStyle w:val="Heading2"/>
      </w:pPr>
      <w:r>
        <w:t xml:space="preserve">II. Market Context: Abu Dhabi as a Growth Engine</w:t>
      </w:r>
    </w:p>
    <w:p>
      <w:pPr>
        <w:pStyle w:val="FirstParagraph"/>
      </w:pPr>
      <w:r>
        <w:t xml:space="preserve">The United Arab Emirates, particularly Abu Dhabi, remains a global epicenter for large-scale infrastructure development. With government investments exceeding AED 1 trillion (USD 270 billion) allocated to strategic projects through the Abu Dhabi Vision 2030 and ADQ portfolio companies (e.g., TAQA, Mubadala), demand for certified Civil Engineers is at an all-time high. The Abu Dhabi Municipality’s stringent Estidama Pearl Rating System and focus on sustainable engineering practices have created a unique market where technical excellence directly correlates with sales conversion. In Q3 2023 alone, Abu Dhabi issued 145 new construction permits valued at AED 890 million, highlighting the fertile ground for Civil Engineer-led sales initiatives.</w:t>
      </w:r>
    </w:p>
    <w:bookmarkEnd w:id="21"/>
    <w:bookmarkStart w:id="22" w:name="Xd4e09b124e9068a8cc95c18c11ef043fed07bf1"/>
    <w:p>
      <w:pPr>
        <w:pStyle w:val="Heading2"/>
      </w:pPr>
      <w:r>
        <w:t xml:space="preserve">III. Sales Performance Breakdown: Key Achievements</w:t>
      </w:r>
    </w:p>
    <w:p>
      <w:pPr>
        <w:pStyle w:val="FirstParagraph"/>
      </w:pPr>
      <w:r>
        <w:rPr>
          <w:bCs/>
          <w:b/>
        </w:rPr>
        <w:t xml:space="preserve">A. Project Acquisition &amp; Contract Value:</w:t>
      </w:r>
      <w:r>
        <w:t xml:space="preserve"> </w:t>
      </w:r>
      <w:r>
        <w:t xml:space="preserve">The Civil Engineer team secured 17 new contracts in Abu Dhabi, including:</w:t>
      </w:r>
    </w:p>
    <w:p>
      <w:pPr>
        <w:numPr>
          <w:ilvl w:val="0"/>
          <w:numId w:val="1001"/>
        </w:numPr>
        <w:pStyle w:val="Compact"/>
      </w:pPr>
      <w:r>
        <w:rPr>
          <w:iCs/>
          <w:i/>
        </w:rPr>
        <w:t xml:space="preserve">The $38 million Al Reem Island Mixed-Use Development</w:t>
      </w:r>
      <w:r>
        <w:t xml:space="preserve">: Designed to achieve Estidama 4-Pearl certification, leveraging our engineers' expertise in sustainable foundations and stormwater management to exceed client sustainability benchmarks.</w:t>
      </w:r>
    </w:p>
    <w:p>
      <w:pPr>
        <w:numPr>
          <w:ilvl w:val="0"/>
          <w:numId w:val="1001"/>
        </w:numPr>
        <w:pStyle w:val="Compact"/>
      </w:pPr>
      <w:r>
        <w:rPr>
          <w:iCs/>
          <w:i/>
        </w:rPr>
        <w:t xml:space="preserve">Abu Dhabi Police Academy Expansion ($29.5M)</w:t>
      </w:r>
      <w:r>
        <w:t xml:space="preserve">: Fast-tracked through innovative ground engineering solutions that resolved site soil instability issues, reducing project timelines by 18% and securing the contract ahead of competitors.</w:t>
      </w:r>
    </w:p>
    <w:p>
      <w:pPr>
        <w:numPr>
          <w:ilvl w:val="0"/>
          <w:numId w:val="1001"/>
        </w:numPr>
        <w:pStyle w:val="Compact"/>
      </w:pPr>
      <w:r>
        <w:rPr>
          <w:iCs/>
          <w:i/>
        </w:rPr>
        <w:t xml:space="preserve">Masdar City Renewable Energy Infrastructure ($42M)</w:t>
      </w:r>
      <w:r>
        <w:t xml:space="preserve">: Civil engineers collaborated with renewable energy specialists to design resilient solar farm infrastructure, directly contributing to a 30% bid win rate against international firms.</w:t>
      </w:r>
    </w:p>
    <w:p>
      <w:pPr>
        <w:pStyle w:val="FirstParagraph"/>
      </w:pPr>
      <w:r>
        <w:rPr>
          <w:bCs/>
          <w:b/>
        </w:rPr>
        <w:t xml:space="preserve">B. Sales Conversion Rate:</w:t>
      </w:r>
      <w:r>
        <w:t xml:space="preserve"> </w:t>
      </w:r>
      <w:r>
        <w:t xml:space="preserve">Civil Engineer involvement in pre-bid technical proposals increased our win rate from 45% (2022) to 68% (Q3 2023). Clients consistently cited engineering innovation—such as advanced geotechnical studies for flood-prone areas or integrated smart city utility designs—as the decisive factor in contract awards.</w:t>
      </w:r>
    </w:p>
    <w:bookmarkEnd w:id="22"/>
    <w:bookmarkStart w:id="23" w:name="iv.-the-civil-engineer-as-a-sales-driver"/>
    <w:p>
      <w:pPr>
        <w:pStyle w:val="Heading2"/>
      </w:pPr>
      <w:r>
        <w:t xml:space="preserve">IV. The Civil Engineer as a Sales Driver</w:t>
      </w:r>
    </w:p>
    <w:p>
      <w:pPr>
        <w:pStyle w:val="FirstParagraph"/>
      </w:pPr>
      <w:r>
        <w:t xml:space="preserve">In the Abu Dhabi market, a Civil Engineer is not merely a technical resource but the linchpin of client trust and sales success. Our engineers routinely:</w:t>
      </w:r>
    </w:p>
    <w:p>
      <w:pPr>
        <w:numPr>
          <w:ilvl w:val="0"/>
          <w:numId w:val="1002"/>
        </w:numPr>
        <w:pStyle w:val="Compact"/>
      </w:pPr>
      <w:r>
        <w:rPr>
          <w:iCs/>
          <w:i/>
        </w:rPr>
        <w:t xml:space="preserve">Preempt Regulatory Challenges:</w:t>
      </w:r>
      <w:r>
        <w:t xml:space="preserve"> </w:t>
      </w:r>
      <w:r>
        <w:t xml:space="preserve">Proactively align designs with Abu Dhabi Municipality’s 2023 Building Code updates, preventing costly rework and positioning us as compliant partners.</w:t>
      </w:r>
    </w:p>
    <w:p>
      <w:pPr>
        <w:numPr>
          <w:ilvl w:val="0"/>
          <w:numId w:val="1002"/>
        </w:numPr>
        <w:pStyle w:val="Compact"/>
      </w:pPr>
      <w:r>
        <w:rPr>
          <w:iCs/>
          <w:i/>
        </w:rPr>
        <w:t xml:space="preserve">Solve Client-Specific Problems:</w:t>
      </w:r>
      <w:r>
        <w:t xml:space="preserve"> </w:t>
      </w:r>
      <w:r>
        <w:t xml:space="preserve">For example, designing customized drainage systems for the Yas Island tourism hub that addressed seasonal flash flood risks, directly increasing client confidence in our technical capability.</w:t>
      </w:r>
    </w:p>
    <w:p>
      <w:pPr>
        <w:numPr>
          <w:ilvl w:val="0"/>
          <w:numId w:val="1002"/>
        </w:numPr>
        <w:pStyle w:val="Compact"/>
      </w:pPr>
      <w:r>
        <w:rPr>
          <w:iCs/>
          <w:i/>
        </w:rPr>
        <w:t xml:space="preserve">Enhance Proposals with Localized Expertise:</w:t>
      </w:r>
      <w:r>
        <w:t xml:space="preserve"> </w:t>
      </w:r>
      <w:r>
        <w:t xml:space="preserve">Our Civil Engineers’ familiarity with Abu Dhabi’s desert geology and extreme climate conditions (e.g., 50°C summer temperatures) allows us to propose contextually sound solutions competitors overlook.</w:t>
      </w:r>
    </w:p>
    <w:bookmarkEnd w:id="23"/>
    <w:bookmarkStart w:id="24" w:name="X9de8e220a301f12eb45249cb61e967295a8e62e"/>
    <w:p>
      <w:pPr>
        <w:pStyle w:val="Heading2"/>
      </w:pPr>
      <w:r>
        <w:t xml:space="preserve">V. Abu Dhabi-Specific Challenges &amp; Strategic Responses</w:t>
      </w:r>
    </w:p>
    <w:p>
      <w:pPr>
        <w:pStyle w:val="FirstParagraph"/>
      </w:pPr>
      <w:r>
        <w:t xml:space="preserve">Market realities in the United Arab Emirates require agile adaptation. Key challenges and our engineering-led sales responses include:</w:t>
      </w:r>
    </w:p>
    <w:p>
      <w:pPr>
        <w:numPr>
          <w:ilvl w:val="0"/>
          <w:numId w:val="1003"/>
        </w:numPr>
        <w:pStyle w:val="Compact"/>
      </w:pPr>
      <w:r>
        <w:rPr>
          <w:iCs/>
          <w:i/>
        </w:rPr>
        <w:t xml:space="preserve">Labor Shortages (UAE National Workforce Push):</w:t>
      </w:r>
      <w:r>
        <w:t xml:space="preserve"> </w:t>
      </w:r>
      <w:r>
        <w:t xml:space="preserve">Civil Engineers developed modular construction methodologies to reduce on-site labor dependency, a key selling point for government tenders prioritizing Emiratization.</w:t>
      </w:r>
    </w:p>
    <w:p>
      <w:pPr>
        <w:numPr>
          <w:ilvl w:val="0"/>
          <w:numId w:val="1003"/>
        </w:numPr>
        <w:pStyle w:val="Compact"/>
      </w:pPr>
      <w:r>
        <w:rPr>
          <w:iCs/>
          <w:i/>
        </w:rPr>
        <w:t xml:space="preserve">Sustainability Compliance:</w:t>
      </w:r>
      <w:r>
        <w:t xml:space="preserve"> </w:t>
      </w:r>
      <w:r>
        <w:t xml:space="preserve">Engineers integrated carbon-tracking tools into project designs to meet Abu Dhabi’s Net Zero 2050 mandate, turning sustainability from a cost into a competitive advantage.</w:t>
      </w:r>
    </w:p>
    <w:p>
      <w:pPr>
        <w:numPr>
          <w:ilvl w:val="0"/>
          <w:numId w:val="1003"/>
        </w:numPr>
        <w:pStyle w:val="Compact"/>
      </w:pPr>
      <w:r>
        <w:rPr>
          <w:iCs/>
          <w:i/>
        </w:rPr>
        <w:t xml:space="preserve">Supply Chain Volatility:</w:t>
      </w:r>
      <w:r>
        <w:t xml:space="preserve"> </w:t>
      </w:r>
      <w:r>
        <w:t xml:space="preserve">Our civil engineering team optimized material sourcing through UAE-based suppliers (e.g., ADNOC’s local steel partners), ensuring on-time delivery and reducing client risk—a critical factor in contract negotiations.</w:t>
      </w:r>
    </w:p>
    <w:bookmarkEnd w:id="24"/>
    <w:bookmarkStart w:id="25" w:name="vi.-competitive-landscape-analysis"/>
    <w:p>
      <w:pPr>
        <w:pStyle w:val="Heading2"/>
      </w:pPr>
      <w:r>
        <w:t xml:space="preserve">VI. Competitive Landscape Analysis</w:t>
      </w:r>
    </w:p>
    <w:p>
      <w:pPr>
        <w:pStyle w:val="FirstParagraph"/>
      </w:pPr>
      <w:r>
        <w:t xml:space="preserve">The Abu Dhabi civil engineering market is fiercely competitive, with 37 firms vying for the same contracts. However, our differentiation strategy—rooted in Civil Engineer excellence—has yielded measurable results:</w:t>
      </w:r>
    </w:p>
    <w:p>
      <w:pPr>
        <w:pStyle w:val="BodyText"/>
      </w:pPr>
      <w:r>
        <w:t xml:space="preserve">Competitor Factor</w:t>
      </w:r>
    </w:p>
    <w:p>
      <w:pPr>
        <w:pStyle w:val="BodyText"/>
      </w:pPr>
      <w:r>
        <w:t xml:space="preserve">Our Differentiation (Civil Engineer-Driven)</w:t>
      </w:r>
    </w:p>
    <w:p>
      <w:pPr>
        <w:pStyle w:val="BodyText"/>
      </w:pPr>
      <w:r>
        <w:t xml:space="preserve">Lack of Localized Climate Experience</w:t>
      </w:r>
    </w:p>
    <w:p>
      <w:pPr>
        <w:pStyle w:val="BodyText"/>
      </w:pPr>
      <w:r>
        <w:t xml:space="preserve">Civil engineers certified in UAE-specific desert engineering protocols</w:t>
      </w:r>
    </w:p>
    <w:p>
      <w:pPr>
        <w:pStyle w:val="BodyText"/>
      </w:pPr>
      <w:r>
        <w:t xml:space="preserve">Generic Sustainability Approaches</w:t>
      </w:r>
    </w:p>
    <w:p>
      <w:pPr>
        <w:pStyle w:val="BodyText"/>
      </w:pPr>
      <w:r>
        <w:t xml:space="preserve">Estidama 4-Pearl-certified designs with real-time energy analytics (e.g., Masdar City project)</w:t>
      </w:r>
    </w:p>
    <w:p>
      <w:pPr>
        <w:pStyle w:val="BodyText"/>
      </w:pPr>
      <w:r>
        <w:t xml:space="preserve">Slow Permitting Processes</w:t>
      </w:r>
    </w:p>
    <w:p>
      <w:pPr>
        <w:pStyle w:val="BodyText"/>
      </w:pPr>
      <w:r>
        <w:t xml:space="preserve">Civil engineering team pre-engaged with Abu Dhabi Municipality to fast-track approvals via technical advisory roles</w:t>
      </w:r>
    </w:p>
    <w:bookmarkEnd w:id="25"/>
    <w:bookmarkStart w:id="26" w:name="X1d6bcf28974912f86e318e28726429e2e26786d"/>
    <w:p>
      <w:pPr>
        <w:pStyle w:val="Heading2"/>
      </w:pPr>
      <w:r>
        <w:t xml:space="preserve">VII. Future Outlook &amp; Strategic Recommendations for Sales Growth in Abu Dhabi, UAE</w:t>
      </w:r>
    </w:p>
    <w:p>
      <w:pPr>
        <w:pStyle w:val="FirstParagraph"/>
      </w:pPr>
      <w:r>
        <w:t xml:space="preserve">With Abu Dhabi’s infrastructure pipeline projected to reach AED 1.4 trillion by 2030 (UAE Ministry of Finance), the Civil Engineer must remain central to our sales strategy. Immediate recommendations include:</w:t>
      </w:r>
    </w:p>
    <w:p>
      <w:pPr>
        <w:numPr>
          <w:ilvl w:val="0"/>
          <w:numId w:val="1004"/>
        </w:numPr>
        <w:pStyle w:val="Compact"/>
      </w:pPr>
      <w:r>
        <w:rPr>
          <w:iCs/>
          <w:i/>
        </w:rPr>
        <w:t xml:space="preserve">Invest in Abu Dhabi-Specific Certifications:</w:t>
      </w:r>
      <w:r>
        <w:t xml:space="preserve"> </w:t>
      </w:r>
      <w:r>
        <w:t xml:space="preserve">Prioritize training for all Civil Engineers in Estidama Pearl Rating and ADQ’s technical standards.</w:t>
      </w:r>
    </w:p>
    <w:p>
      <w:pPr>
        <w:numPr>
          <w:ilvl w:val="0"/>
          <w:numId w:val="1004"/>
        </w:numPr>
        <w:pStyle w:val="Compact"/>
      </w:pPr>
      <w:r>
        <w:rPr>
          <w:iCs/>
          <w:i/>
        </w:rPr>
        <w:t xml:space="preserve">Create a "UAE Infrastructure Solution" Bundle:</w:t>
      </w:r>
      <w:r>
        <w:t xml:space="preserve"> </w:t>
      </w:r>
      <w:r>
        <w:t xml:space="preserve">Package civil engineering expertise with sustainability analytics and smart-city integration to address Abu Dhabi Municipality’s 2024 tender requirements.</w:t>
      </w:r>
    </w:p>
    <w:p>
      <w:pPr>
        <w:numPr>
          <w:ilvl w:val="0"/>
          <w:numId w:val="1004"/>
        </w:numPr>
        <w:pStyle w:val="Compact"/>
      </w:pPr>
      <w:r>
        <w:rPr>
          <w:iCs/>
          <w:i/>
        </w:rPr>
        <w:t xml:space="preserve">Leverage Government Partnerships:</w:t>
      </w:r>
      <w:r>
        <w:t xml:space="preserve"> </w:t>
      </w:r>
      <w:r>
        <w:t xml:space="preserve">Collaborate with TAQA and Mubadala on joint R&amp;D for climate-resilient infrastructure, positioning our Civil Engineers as thought leaders in the UAE market.</w:t>
      </w:r>
    </w:p>
    <w:bookmarkEnd w:id="26"/>
    <w:bookmarkStart w:id="27" w:name="viii.-conclusion"/>
    <w:p>
      <w:pPr>
        <w:pStyle w:val="Heading2"/>
      </w:pPr>
      <w:r>
        <w:t xml:space="preserve">VIII. Conclusion</w:t>
      </w:r>
    </w:p>
    <w:p>
      <w:pPr>
        <w:pStyle w:val="FirstParagraph"/>
      </w:pPr>
      <w:r>
        <w:t xml:space="preserve">The role of the Civil Engineer is unequivocally intertwined with sales success in Abu Dhabi, United Arab Emirates. Our Q3 2023 performance demonstrates that technical excellence—tailored to Abu Dhabi’s regulatory, environmental, and cultural context—is the single most effective catalyst for securing high-value contracts. As the UAE accelerates toward its Vision 2030 goals, Civil Engineers will not just support sales—they will define them. We project a 28% year-on-year sales growth in Abu Dhabi for Q4 2023, driven by our engineering-led approach. To maintain this momentum, we recommend embedding Civil Engineer specialists into every pre-sales engagement with clients across the United Arab Emirates market.</w:t>
      </w:r>
    </w:p>
    <w:p>
      <w:pPr>
        <w:pStyle w:val="BodyText"/>
      </w:pPr>
      <w:r>
        <w:rPr>
          <w:bCs/>
          <w:b/>
        </w:rPr>
        <w:t xml:space="preserve">Prepared By:</w:t>
      </w:r>
      <w:r>
        <w:t xml:space="preserve"> </w:t>
      </w:r>
      <w:r>
        <w:t xml:space="preserve">Engineering Sales &amp; Business Development Team</w:t>
      </w:r>
      <w:r>
        <w:br/>
      </w:r>
      <w:r>
        <w:rPr>
          <w:bCs/>
          <w:b/>
        </w:rPr>
        <w:t xml:space="preserve">Company:</w:t>
      </w:r>
      <w:r>
        <w:t xml:space="preserve"> </w:t>
      </w:r>
      <w:r>
        <w:t xml:space="preserve">Global Infrastructure Solutions (GIS) Middle East</w:t>
      </w:r>
      <w:r>
        <w:br/>
      </w:r>
      <w:r>
        <w:rPr>
          <w:bCs/>
          <w:b/>
        </w:rPr>
        <w:t xml:space="preserve">Contact:</w:t>
      </w:r>
      <w:r>
        <w:t xml:space="preserve"> </w:t>
      </w:r>
      <w:r>
        <w:t xml:space="preserve">sales@gis-mea.ae | +971 2 555 3400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Performance Report: Abu Dhabi, United Arab Emirates</dc:title>
  <dc:creator/>
  <dc:language>en</dc:language>
  <cp:keywords/>
  <dcterms:created xsi:type="dcterms:W3CDTF">2026-07-23T22:19:03Z</dcterms:created>
  <dcterms:modified xsi:type="dcterms:W3CDTF">2026-07-23T22:19:03Z</dcterms:modified>
</cp:coreProperties>
</file>

<file path=docProps/custom.xml><?xml version="1.0" encoding="utf-8"?>
<Properties xmlns="http://schemas.openxmlformats.org/officeDocument/2006/custom-properties" xmlns:vt="http://schemas.openxmlformats.org/officeDocument/2006/docPropsVTypes"/>
</file>