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30" w:name="Xcc1050468e2629b6bf8bb289536ed5c2399bde4"/>
    <w:p>
      <w:pPr>
        <w:pStyle w:val="Heading1"/>
      </w:pPr>
      <w:r>
        <w:t xml:space="preserve">Sales Report Summary: Civil Engineering Services in United Kingdom London Market</w:t>
      </w:r>
    </w:p>
    <w:p>
      <w:pPr>
        <w:pStyle w:val="FirstParagraph"/>
      </w:pPr>
      <w:r>
        <w:t xml:space="preserve">Prepared for Executive Leadership | Q3 2024 | Londinium Engineering Solutions Ltd.</w:t>
      </w:r>
    </w:p>
    <w:bookmarkStart w:id="20" w:name="executive-summary"/>
    <w:p>
      <w:pPr>
        <w:pStyle w:val="Heading2"/>
      </w:pPr>
      <w:r>
        <w:t xml:space="preserve">Executive Summary</w:t>
      </w:r>
    </w:p>
    <w:p>
      <w:pPr>
        <w:pStyle w:val="FirstParagraph"/>
      </w:pPr>
      <w:r>
        <w:t xml:space="preserve">This report details the sales performance of civil engineering services across the United Kingdom London market for Q3 2024. With London serving as the epicenter of UK infrastructure investment, our Civil Engineer team has secured significant contracts demonstrating robust market demand for specialist engineering consultancy. The quarter concluded with a 18% year-on-year increase in signed agreements, underpinning our strategic focus on sustainable urban development within the United Kingdom's most dynamic city. This document outlines key sales metrics, sectoral performance, and forward-looking recommendations tailored to London's unique regulatory and project landscape.</w:t>
      </w:r>
    </w:p>
    <w:bookmarkEnd w:id="20"/>
    <w:bookmarkStart w:id="21" w:name="X9e7ab4ecc0425298f287c94cf7c14f1a2e0851d"/>
    <w:p>
      <w:pPr>
        <w:pStyle w:val="Heading2"/>
      </w:pPr>
      <w:r>
        <w:t xml:space="preserve">Market Context: Civil Engineering Demand in London</w:t>
      </w:r>
    </w:p>
    <w:p>
      <w:pPr>
        <w:pStyle w:val="FirstParagraph"/>
      </w:pPr>
      <w:r>
        <w:t xml:space="preserve">The United Kingdom London civil engineering market continues to experience unprecedented activity driven by government infrastructure initiatives including the National Infrastructure Strategy and Mayor of London's Transport for London (TfL) Capital Plan. With over 70 major construction projects underway across Greater London, the demand for qualified Civil Engineer professionals has reached a decade high. Critical sector drivers include:</w:t>
      </w:r>
    </w:p>
    <w:p>
      <w:pPr>
        <w:numPr>
          <w:ilvl w:val="0"/>
          <w:numId w:val="1001"/>
        </w:numPr>
        <w:pStyle w:val="Compact"/>
      </w:pPr>
      <w:r>
        <w:t xml:space="preserve">HS2 Phase 2b delivery requiring extensive civil engineering support in West London corridors</w:t>
      </w:r>
    </w:p>
    <w:p>
      <w:pPr>
        <w:numPr>
          <w:ilvl w:val="0"/>
          <w:numId w:val="1001"/>
        </w:numPr>
        <w:pStyle w:val="Compact"/>
      </w:pPr>
      <w:r>
        <w:t xml:space="preserve">Thames Tideway Tunnel expansion necessitating advanced geotechnical and environmental Civil Engineer expertise</w:t>
      </w:r>
    </w:p>
    <w:p>
      <w:pPr>
        <w:numPr>
          <w:ilvl w:val="0"/>
          <w:numId w:val="1001"/>
        </w:numPr>
        <w:pStyle w:val="Compact"/>
      </w:pPr>
      <w:r>
        <w:t xml:space="preserve">Net Zero Carbon initiatives accelerating retrofit projects for existing London infrastructure</w:t>
      </w:r>
    </w:p>
    <w:p>
      <w:pPr>
        <w:numPr>
          <w:ilvl w:val="0"/>
          <w:numId w:val="1001"/>
        </w:numPr>
        <w:pStyle w:val="Compact"/>
      </w:pPr>
      <w:r>
        <w:t xml:space="preserve">London Plan 2021 compliance driving demand for sustainable site development solutions</w:t>
      </w:r>
    </w:p>
    <w:bookmarkEnd w:id="21"/>
    <w:bookmarkStart w:id="22" w:name="sales-performance-highlights-q3-2024"/>
    <w:p>
      <w:pPr>
        <w:pStyle w:val="Heading2"/>
      </w:pPr>
      <w:r>
        <w:t xml:space="preserve">Sales Performance Highlights (Q3 2024)</w:t>
      </w:r>
    </w:p>
    <w:p>
      <w:pPr>
        <w:pStyle w:val="FirstParagraph"/>
      </w:pPr>
      <w:r>
        <w:t xml:space="preserve">Londinium Engineering Solutions achieved a record-breaking quarter in Civil Engineer service sales within the United Kingdom London market, securing £14.7 million in new contracts across eight major projects: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Sector</w:t>
            </w:r>
          </w:p>
        </w:tc>
        <w:tc>
          <w:tcPr/>
          <w:p>
            <w:pPr>
              <w:pStyle w:val="Compact"/>
              <w:jc w:val="left"/>
            </w:pPr>
            <w:r>
              <w:t xml:space="preserve">Contract Value (£)</w:t>
            </w:r>
          </w:p>
        </w:tc>
        <w:tc>
          <w:tcPr/>
          <w:p>
            <w:pPr>
              <w:pStyle w:val="Compact"/>
              <w:jc w:val="left"/>
            </w:pPr>
            <w:r>
              <w:t xml:space="preserve">Key Civil Engineer Services</w:t>
            </w:r>
          </w:p>
        </w:tc>
      </w:tr>
      <w:tr>
        <w:tc>
          <w:tcPr/>
          <w:p>
            <w:pPr>
              <w:pStyle w:val="Compact"/>
              <w:jc w:val="left"/>
            </w:pPr>
            <w:r>
              <w:t xml:space="preserve">Battersea Power Station Masterplan Phase III</w:t>
            </w:r>
          </w:p>
        </w:tc>
        <w:tc>
          <w:tcPr/>
          <w:p>
            <w:pPr>
              <w:pStyle w:val="Compact"/>
              <w:jc w:val="left"/>
            </w:pPr>
            <w:r>
              <w:t xml:space="preserve">Urban Regeneration</w:t>
            </w:r>
          </w:p>
        </w:tc>
        <w:tc>
          <w:tcPr/>
          <w:p>
            <w:pPr>
              <w:pStyle w:val="Compact"/>
              <w:jc w:val="left"/>
            </w:pPr>
            <w:r>
              <w:t xml:space="preserve">£4.2M</w:t>
            </w:r>
          </w:p>
        </w:tc>
        <w:tc>
          <w:tcPr/>
          <w:p>
            <w:pPr>
              <w:pStyle w:val="Compact"/>
              <w:jc w:val="left"/>
            </w:pPr>
            <w:r>
              <w:t xml:space="preserve">Structural analysis, flood risk assessment, sustainable drainage systems</w:t>
            </w:r>
          </w:p>
        </w:tc>
      </w:tr>
      <w:tr>
        <w:tc>
          <w:tcPr/>
          <w:p>
            <w:pPr>
              <w:pStyle w:val="Compact"/>
              <w:jc w:val="left"/>
            </w:pPr>
            <w:r>
              <w:t xml:space="preserve">Crossrail 2 Euston Station Civil Works</w:t>
            </w:r>
          </w:p>
        </w:tc>
        <w:tc>
          <w:tcPr/>
          <w:p>
            <w:pPr>
              <w:pStyle w:val="Compact"/>
              <w:jc w:val="left"/>
            </w:pPr>
            <w:r>
              <w:t xml:space="preserve">Transport Infrastructure</w:t>
            </w:r>
          </w:p>
        </w:tc>
        <w:tc>
          <w:tcPr/>
          <w:p>
            <w:pPr>
              <w:pStyle w:val="Compact"/>
              <w:jc w:val="left"/>
            </w:pPr>
            <w:r>
              <w:t xml:space="preserve">£3.8M</w:t>
            </w:r>
          </w:p>
        </w:tc>
        <w:tc>
          <w:tcPr/>
          <w:p>
            <w:pPr>
              <w:pStyle w:val="Compact"/>
              <w:jc w:val="left"/>
            </w:pPr>
            <w:r>
              <w:t xml:space="preserve">Geotechnical engineering, tunnel alignment, utility relocation planning</w:t>
            </w:r>
          </w:p>
        </w:tc>
      </w:tr>
      <w:tr>
        <w:tc>
          <w:tcPr/>
          <w:p>
            <w:pPr>
              <w:pStyle w:val="Compact"/>
              <w:jc w:val="left"/>
            </w:pPr>
            <w:r>
              <w:t xml:space="preserve">London City Airport Terminal Expansion</w:t>
            </w:r>
          </w:p>
        </w:tc>
        <w:tc>
          <w:tcPr/>
          <w:p>
            <w:pPr>
              <w:pStyle w:val="Compact"/>
              <w:jc w:val="left"/>
            </w:pPr>
            <w:r>
              <w:t xml:space="preserve">Airport Infrastructure</w:t>
            </w:r>
          </w:p>
        </w:tc>
        <w:tc>
          <w:tcPr/>
          <w:p>
            <w:pPr>
              <w:pStyle w:val="Compact"/>
              <w:jc w:val="left"/>
            </w:pPr>
            <w:r>
              <w:t xml:space="preserve">£2.9M</w:t>
            </w:r>
          </w:p>
        </w:tc>
        <w:tc>
          <w:tcPr/>
          <w:p>
            <w:pPr>
              <w:pStyle w:val="Compact"/>
              <w:jc w:val="left"/>
            </w:pPr>
            <w:r>
              <w:t xml:space="preserve">Site infrastructure design, noise mitigation, airside operations engineering</w:t>
            </w:r>
          </w:p>
        </w:tc>
      </w:tr>
      <w:tr>
        <w:tc>
          <w:tcPr/>
          <w:p>
            <w:pPr>
              <w:pStyle w:val="Compact"/>
              <w:jc w:val="left"/>
            </w:pPr>
            <w:r>
              <w:t xml:space="preserve">Thames Estuary Flood Barrier Upgrade</w:t>
            </w:r>
          </w:p>
        </w:tc>
        <w:tc>
          <w:tcPr/>
          <w:p>
            <w:pPr>
              <w:pStyle w:val="Compact"/>
              <w:jc w:val="left"/>
            </w:pPr>
            <w:r>
              <w:t xml:space="preserve">Environmental Infrastructure</w:t>
            </w:r>
          </w:p>
        </w:tc>
        <w:tc>
          <w:tcPr/>
          <w:p>
            <w:pPr>
              <w:pStyle w:val="Compact"/>
              <w:jc w:val="left"/>
            </w:pPr>
            <w:r>
              <w:t xml:space="preserve">£3.8M</w:t>
            </w:r>
          </w:p>
        </w:tc>
        <w:tc>
          <w:tcPr/>
          <w:p>
            <w:pPr>
              <w:pStyle w:val="Compact"/>
              <w:jc w:val="left"/>
            </w:pPr>
            <w:r>
              <w:t xml:space="preserve">Risk assessment, climate resilience engineering, flood modelling</w:t>
            </w:r>
          </w:p>
        </w:tc>
      </w:tr>
    </w:tbl>
    <w:p>
      <w:pPr>
        <w:pStyle w:val="BodyText"/>
      </w:pPr>
      <w:r>
        <w:rPr>
          <w:bCs/>
          <w:b/>
        </w:rPr>
        <w:t xml:space="preserve">Key Achievement:</w:t>
      </w:r>
      <w:r>
        <w:t xml:space="preserve"> </w:t>
      </w:r>
      <w:r>
        <w:t xml:space="preserve">100% of new Civil Engineer contracts secured through direct client engagement with London-based developers (including Lendlease, Balfour Beatty, and Canary Wharf Group), demonstrating our market position as a preferred engineering partner in United Kingdom London.</w:t>
      </w:r>
    </w:p>
    <w:bookmarkEnd w:id="22"/>
    <w:bookmarkStart w:id="26" w:name="sector-analysis-client-acquisition"/>
    <w:p>
      <w:pPr>
        <w:pStyle w:val="Heading2"/>
      </w:pPr>
      <w:r>
        <w:t xml:space="preserve">Sector Analysis &amp; Client Acquisition</w:t>
      </w:r>
    </w:p>
    <w:p>
      <w:pPr>
        <w:pStyle w:val="FirstParagraph"/>
      </w:pPr>
      <w:r>
        <w:t xml:space="preserve">The sales pipeline reveals critical shifts in Civil Engineer demand patterns within the London market:</w:t>
      </w:r>
    </w:p>
    <w:bookmarkStart w:id="23" w:name="transport-infrastructure-38-of-q3-sales"/>
    <w:p>
      <w:pPr>
        <w:pStyle w:val="Heading3"/>
      </w:pPr>
      <w:r>
        <w:t xml:space="preserve">Transport &amp; Infrastructure (38% of Q3 Sales)</w:t>
      </w:r>
    </w:p>
    <w:p>
      <w:pPr>
        <w:pStyle w:val="FirstParagraph"/>
      </w:pPr>
      <w:r>
        <w:t xml:space="preserve">Government funding for transport infrastructure remains the strongest growth sector. Our Civil Engineer team's expertise in complex underground works and integration with existing TfL networks secured multiple high-value contracts. Notably, our success in securing the Crossrail 2 Euston Station contract demonstrates our ability to navigate London's challenging geotechnical environment and meet stringent Mayor of London sustainability requirements.</w:t>
      </w:r>
    </w:p>
    <w:bookmarkEnd w:id="23"/>
    <w:bookmarkStart w:id="24" w:name="urban-regeneration-29-of-q3-sales"/>
    <w:p>
      <w:pPr>
        <w:pStyle w:val="Heading3"/>
      </w:pPr>
      <w:r>
        <w:t xml:space="preserve">Urban Regeneration (29% of Q3 Sales)</w:t>
      </w:r>
    </w:p>
    <w:p>
      <w:pPr>
        <w:pStyle w:val="FirstParagraph"/>
      </w:pPr>
      <w:r>
        <w:t xml:space="preserve">With over 40 major regeneration projects in the Greater London Authority's pipeline, Civil Engineer services for brownfield site development are in high demand. Our bespoke solutions for historic building integration (e.g., Battersea Power Station) have established us as a specialist provider within London's architectural conservation market.</w:t>
      </w:r>
    </w:p>
    <w:bookmarkEnd w:id="24"/>
    <w:bookmarkStart w:id="25" w:name="X03a1605cf0e67e55d4eaf0aa1fa60613cee96b1"/>
    <w:p>
      <w:pPr>
        <w:pStyle w:val="Heading3"/>
      </w:pPr>
      <w:r>
        <w:t xml:space="preserve">Sustainability Engineering (24% of Q3 Sales)</w:t>
      </w:r>
    </w:p>
    <w:p>
      <w:pPr>
        <w:pStyle w:val="FirstParagraph"/>
      </w:pPr>
      <w:r>
        <w:t xml:space="preserve">Driven by London's Climate Action Plan, 68% of new Civil Engineer contracts now include mandatory sustainability deliverables. Our team has secured leadership positions in carbon-neutral infrastructure projects through innovative BREEAM assessment integration and low-carbon material specifications – a key differentiator in the competitive United Kingdom London market.</w:t>
      </w:r>
    </w:p>
    <w:bookmarkEnd w:id="25"/>
    <w:bookmarkEnd w:id="26"/>
    <w:bookmarkStart w:id="27" w:name="challenges-strategic-response"/>
    <w:p>
      <w:pPr>
        <w:pStyle w:val="Heading2"/>
      </w:pPr>
      <w:r>
        <w:t xml:space="preserve">Challenges &amp; Strategic Response</w:t>
      </w:r>
    </w:p>
    <w:p>
      <w:pPr>
        <w:pStyle w:val="FirstParagraph"/>
      </w:pPr>
      <w:r>
        <w:t xml:space="preserve">Despite strong performance, three market challenges require strategic mitigation:</w:t>
      </w:r>
    </w:p>
    <w:p>
      <w:pPr>
        <w:numPr>
          <w:ilvl w:val="0"/>
          <w:numId w:val="1002"/>
        </w:numPr>
        <w:pStyle w:val="Compact"/>
      </w:pPr>
      <w:r>
        <w:rPr>
          <w:bCs/>
          <w:b/>
        </w:rPr>
        <w:t xml:space="preserve">Skilled Workforce Shortage:</w:t>
      </w:r>
      <w:r>
        <w:t xml:space="preserve"> </w:t>
      </w:r>
      <w:r>
        <w:t xml:space="preserve">London faces a 17% deficit in chartered Civil Engineer professionals. Our response includes partnerships with Imperial College London and UCL for targeted graduate recruitment, plus enhanced retention programs offering London-based professional development opportunities.</w:t>
      </w:r>
    </w:p>
    <w:p>
      <w:pPr>
        <w:numPr>
          <w:ilvl w:val="0"/>
          <w:numId w:val="1002"/>
        </w:numPr>
        <w:pStyle w:val="Compact"/>
      </w:pPr>
      <w:r>
        <w:rPr>
          <w:bCs/>
          <w:b/>
        </w:rPr>
        <w:t xml:space="preserve">Regulatory Complexity:</w:t>
      </w:r>
      <w:r>
        <w:t xml:space="preserve"> </w:t>
      </w:r>
      <w:r>
        <w:t xml:space="preserve">Navigating the Planning Inspectorate's evolving standards for infrastructure projects requires specialised knowledge. We've established a dedicated London Regulatory Compliance Unit staffed by ICE-chartered Civil Engineers with deep local authority experience.</w:t>
      </w:r>
    </w:p>
    <w:p>
      <w:pPr>
        <w:numPr>
          <w:ilvl w:val="0"/>
          <w:numId w:val="1002"/>
        </w:numPr>
        <w:pStyle w:val="Compact"/>
      </w:pPr>
      <w:r>
        <w:rPr>
          <w:bCs/>
          <w:b/>
        </w:rPr>
        <w:t xml:space="preserve">Supply Chain Volatility:</w:t>
      </w:r>
      <w:r>
        <w:t xml:space="preserve"> </w:t>
      </w:r>
      <w:r>
        <w:t xml:space="preserve">Material cost fluctuations impact project viability. We've implemented a London-based materials consortium with 12 pre-vetted suppliers to ensure consistent supply of sustainable construction materials at competitive rates.</w:t>
      </w:r>
    </w:p>
    <w:bookmarkEnd w:id="27"/>
    <w:bookmarkStart w:id="28" w:name="future-outlook-sales-strategy"/>
    <w:p>
      <w:pPr>
        <w:pStyle w:val="Heading2"/>
      </w:pPr>
      <w:r>
        <w:t xml:space="preserve">Future Outlook &amp; Sales Strategy</w:t>
      </w:r>
    </w:p>
    <w:p>
      <w:pPr>
        <w:pStyle w:val="FirstParagraph"/>
      </w:pPr>
      <w:r>
        <w:t xml:space="preserve">Looking ahead to Q4 2024 and beyond, the United Kingdom London civil engineering market shows exceptional promise. Our strategic focus will centre on:</w:t>
      </w:r>
    </w:p>
    <w:p>
      <w:pPr>
        <w:numPr>
          <w:ilvl w:val="0"/>
          <w:numId w:val="1003"/>
        </w:numPr>
        <w:pStyle w:val="Compact"/>
      </w:pPr>
      <w:r>
        <w:t xml:space="preserve">Capitalising on the £15B+ London Infrastructure Investment Programme (LIIIP) launched by Mayor Sadiq Khan</w:t>
      </w:r>
    </w:p>
    <w:p>
      <w:pPr>
        <w:numPr>
          <w:ilvl w:val="0"/>
          <w:numId w:val="1003"/>
        </w:numPr>
        <w:pStyle w:val="Compact"/>
      </w:pPr>
      <w:r>
        <w:t xml:space="preserve">Expanding Civil Engineer service offerings for the UK's first national hydrogen infrastructure corridor through London</w:t>
      </w:r>
    </w:p>
    <w:p>
      <w:pPr>
        <w:numPr>
          <w:ilvl w:val="0"/>
          <w:numId w:val="1003"/>
        </w:numPr>
        <w:pStyle w:val="Compact"/>
      </w:pPr>
      <w:r>
        <w:t xml:space="preserve">Developing a dedicated Civil Engineer digital platform for real-time project collaboration across London sites</w:t>
      </w:r>
    </w:p>
    <w:p>
      <w:pPr>
        <w:pStyle w:val="FirstParagraph"/>
      </w:pPr>
      <w:r>
        <w:t xml:space="preserve">Based on current pipeline strength (totalled £22.3M in signed and pending agreements), we forecast 25% YoY growth in Civil Engineer service sales for London by Q1 2025. This positions us to become the United Kingdom's top-engineered services provider for London-based infrastructure development within three years.</w:t>
      </w:r>
    </w:p>
    <w:bookmarkEnd w:id="28"/>
    <w:bookmarkStart w:id="29" w:name="conclusion"/>
    <w:p>
      <w:pPr>
        <w:pStyle w:val="Heading2"/>
      </w:pPr>
      <w:r>
        <w:t xml:space="preserve">Conclusion</w:t>
      </w:r>
    </w:p>
    <w:p>
      <w:pPr>
        <w:pStyle w:val="FirstParagraph"/>
      </w:pPr>
      <w:r>
        <w:t xml:space="preserve">The Civil Engineer team at Londinium Engineering Solutions has delivered exceptional sales performance in the United Kingdom London market during Q3 2024. Our success stems from deep local expertise, strategic alignment with London's infrastructure priorities, and a relentless focus on sustainable engineering solutions that meet both client needs and United Kingdom regulatory standards. As London continues to lead the UK's infrastructure renaissance, our Civil Engineer services represent not just a product offering – but the critical enabler for the capital city's next phase of development. We recommend maintaining our current market strategy while accelerating investments in digital engineering capabilities to sustain this growth trajectory across all London boroughs and beyond.</w:t>
      </w:r>
    </w:p>
    <w:p>
      <w:pPr>
        <w:pStyle w:val="BodyText"/>
      </w:pPr>
      <w:r>
        <w:t xml:space="preserve">Prepared by: Sales &amp; Business Development Department | Londinium Engineering Solutions Ltd. | Registered Office: 123 City Road, London EC1V 2NX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United Kingdom London Market</dc:title>
  <dc:creator/>
  <dc:language>en</dc:language>
  <cp:keywords/>
  <dcterms:created xsi:type="dcterms:W3CDTF">2026-07-24T06:02:48Z</dcterms:created>
  <dcterms:modified xsi:type="dcterms:W3CDTF">2026-07-24T06:02:48Z</dcterms:modified>
</cp:coreProperties>
</file>

<file path=docProps/custom.xml><?xml version="1.0" encoding="utf-8"?>
<Properties xmlns="http://schemas.openxmlformats.org/officeDocument/2006/custom-properties" xmlns:vt="http://schemas.openxmlformats.org/officeDocument/2006/docPropsVTypes"/>
</file>