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30" w:name="X22977e7854280471a48fae66bc4cb2f94dc2eec"/>
    <w:p>
      <w:pPr>
        <w:pStyle w:val="Heading1"/>
      </w:pPr>
      <w:r>
        <w:t xml:space="preserve">Annual Sales Performance Report: Civil Engineering Services in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Midwest Engineering Solutions</w:t>
      </w:r>
      <w:r>
        <w:br/>
      </w:r>
      <w:r>
        <w:rPr>
          <w:bCs/>
          <w:b/>
        </w:rPr>
        <w:t xml:space="preserve">Region Covered:</w:t>
      </w:r>
      <w:r>
        <w:t xml:space="preserve"> </w:t>
      </w:r>
      <w:r>
        <w:t xml:space="preserve">United States Chicago Metropolitan Area</w:t>
      </w:r>
    </w:p>
    <w:bookmarkStart w:id="20" w:name="i.-executive-summary"/>
    <w:p>
      <w:pPr>
        <w:pStyle w:val="Heading2"/>
      </w:pPr>
      <w:r>
        <w:t xml:space="preserve">I. Executive Summary</w:t>
      </w:r>
    </w:p>
    <w:p>
      <w:pPr>
        <w:pStyle w:val="FirstParagraph"/>
      </w:pPr>
      <w:r>
        <w:t xml:space="preserve">This comprehensive Sales Report details the performance of civil engineering services across the United States Chicago market during Q1-Q3 2023. As a critical component of infrastructure development in one of America's largest metropolitan hubs, our Civil Engineer team has demonstrated exceptional growth and strategic impact. The Chicago market contributed 34% to our national revenue growth, with project value increasing by 28% year-over-year. This report confirms that Chicago remains the most dynamic market for civil engineering services in the Midwest United States, driven by transformative public works initiatives and private sector investment.</w:t>
      </w:r>
    </w:p>
    <w:bookmarkEnd w:id="20"/>
    <w:bookmarkStart w:id="21" w:name="X19827d4c4ff8393b321d3d886d9f0fafce0e2d0"/>
    <w:p>
      <w:pPr>
        <w:pStyle w:val="Heading2"/>
      </w:pPr>
      <w:r>
        <w:t xml:space="preserve">II. Market Context: Why Chicago Matters for Civil Engineers</w:t>
      </w:r>
    </w:p>
    <w:p>
      <w:pPr>
        <w:pStyle w:val="FirstParagraph"/>
      </w:pPr>
      <w:r>
        <w:t xml:space="preserve">Chicago's position as a transportation nexus, financial center, and growing urban ecosystem creates unparalleled demand for qualified Civil Engineer professionals. The city's $15.3 billion infrastructure modernization plan—funded through the Bipartisan Infrastructure Law—and the 2024 Chicago Climate Action Plan have positioned us as a national model for sustainable urban development. In this context, our Sales Report underscores how strategically aligned our Civil Engineer service portfolio is with municipal priorities.</w:t>
      </w:r>
    </w:p>
    <w:p>
      <w:pPr>
        <w:pStyle w:val="BodyText"/>
      </w:pPr>
      <w:r>
        <w:t xml:space="preserve">Unlike other markets, Chicago's complex regulatory environment demands Civil Engineer expertise in flood mitigation (given the Des Plaines River watershed), historic district preservation (notably Lake Shore Drive and Gold Coast), and multi-modal transit integration. Our sales data confirms that 76% of new contracts involve these specialized civil engineering disciplines, directly responding to Chicago's unique urban challenges.</w:t>
      </w:r>
    </w:p>
    <w:bookmarkEnd w:id="21"/>
    <w:bookmarkStart w:id="25" w:name="iii.-sales-performance-highlights"/>
    <w:p>
      <w:pPr>
        <w:pStyle w:val="Heading2"/>
      </w:pPr>
      <w:r>
        <w:t xml:space="preserve">III. Sales Performance Highlights</w:t>
      </w:r>
    </w:p>
    <w:bookmarkStart w:id="22" w:name="a.-project-pipeline-growth"/>
    <w:p>
      <w:pPr>
        <w:pStyle w:val="Heading3"/>
      </w:pPr>
      <w:r>
        <w:t xml:space="preserve">A. Project Pipeline Growth</w:t>
      </w:r>
    </w:p>
    <w:p>
      <w:pPr>
        <w:pStyle w:val="FirstParagraph"/>
      </w:pPr>
      <w:r>
        <w:t xml:space="preserve">Chicago's project pipeline expanded by 41% compared to Q3 2022, with a total value of $87.5M in active civil engineering contracts:</w:t>
      </w:r>
    </w:p>
    <w:p>
      <w:pPr>
        <w:numPr>
          <w:ilvl w:val="0"/>
          <w:numId w:val="1001"/>
        </w:numPr>
        <w:pStyle w:val="Compact"/>
      </w:pPr>
      <w:r>
        <w:rPr>
          <w:bCs/>
          <w:b/>
        </w:rPr>
        <w:t xml:space="preserve">Riverwalk Expansion Phase III:</w:t>
      </w:r>
      <w:r>
        <w:t xml:space="preserve"> </w:t>
      </w:r>
      <w:r>
        <w:t xml:space="preserve">$18.2M (City of Chicago Department of Public Works)</w:t>
      </w:r>
    </w:p>
    <w:p>
      <w:pPr>
        <w:numPr>
          <w:ilvl w:val="0"/>
          <w:numId w:val="1001"/>
        </w:numPr>
        <w:pStyle w:val="Compact"/>
      </w:pPr>
      <w:r>
        <w:rPr>
          <w:bCs/>
          <w:b/>
        </w:rPr>
        <w:t xml:space="preserve">O'Hare Modernization Support Services:</w:t>
      </w:r>
      <w:r>
        <w:t xml:space="preserve"> </w:t>
      </w:r>
      <w:r>
        <w:t xml:space="preserve">$24.7M (Aerotropolis Development Consortium)</w:t>
      </w:r>
    </w:p>
    <w:p>
      <w:pPr>
        <w:numPr>
          <w:ilvl w:val="0"/>
          <w:numId w:val="1001"/>
        </w:numPr>
        <w:pStyle w:val="Compact"/>
      </w:pPr>
      <w:r>
        <w:rPr>
          <w:bCs/>
          <w:b/>
        </w:rPr>
        <w:t xml:space="preserve">North Branch Trailhead Sustainability Project:</w:t>
      </w:r>
      <w:r>
        <w:t xml:space="preserve"> </w:t>
      </w:r>
      <w:r>
        <w:t xml:space="preserve">$9.5M (Metropolitan Water Reclamation District)</w:t>
      </w:r>
    </w:p>
    <w:bookmarkEnd w:id="22"/>
    <w:bookmarkStart w:id="23" w:name="b.-client-acquisition-strategy"/>
    <w:p>
      <w:pPr>
        <w:pStyle w:val="Heading3"/>
      </w:pPr>
      <w:r>
        <w:t xml:space="preserve">B. Client Acquisition Strategy</w:t>
      </w:r>
    </w:p>
    <w:p>
      <w:pPr>
        <w:pStyle w:val="FirstParagraph"/>
      </w:pPr>
      <w:r>
        <w:t xml:space="preserve">Our targeted outreach to Chicago's municipal agencies and private developers yielded exceptional results. Key initiatives included:</w:t>
      </w:r>
    </w:p>
    <w:p>
      <w:pPr>
        <w:numPr>
          <w:ilvl w:val="0"/>
          <w:numId w:val="1002"/>
        </w:numPr>
        <w:pStyle w:val="Compact"/>
      </w:pPr>
      <w:r>
        <w:rPr>
          <w:bCs/>
          <w:b/>
        </w:rPr>
        <w:t xml:space="preserve">Chicago Department of Transportation (CDOT) Partnership Program:</w:t>
      </w:r>
      <w:r>
        <w:t xml:space="preserve"> </w:t>
      </w:r>
      <w:r>
        <w:t xml:space="preserve">Secured 5 new contracts through specialized workshops on "Adaptive Traffic Management Systems" led by our principal Civil Engineer, Maria Chen.</w:t>
      </w:r>
    </w:p>
    <w:p>
      <w:pPr>
        <w:numPr>
          <w:ilvl w:val="0"/>
          <w:numId w:val="1002"/>
        </w:numPr>
        <w:pStyle w:val="Compact"/>
      </w:pPr>
      <w:r>
        <w:rPr>
          <w:bCs/>
          <w:b/>
        </w:rPr>
        <w:t xml:space="preserve">Sustainable Infrastructure Roundtables:</w:t>
      </w:r>
      <w:r>
        <w:t xml:space="preserve"> </w:t>
      </w:r>
      <w:r>
        <w:t xml:space="preserve">Hosted quarterly events at The Chicago Architecture Center attracting 120+ municipal planners and developers; resulting in 37 qualified leads converted to contracts.</w:t>
      </w:r>
    </w:p>
    <w:bookmarkEnd w:id="23"/>
    <w:bookmarkStart w:id="24" w:name="c.-revenue-breakdown-by-sector"/>
    <w:p>
      <w:pPr>
        <w:pStyle w:val="Heading3"/>
      </w:pPr>
      <w:r>
        <w:t xml:space="preserve">C. Revenue Breakdown by Sector</w:t>
      </w:r>
    </w:p>
    <w:p>
      <w:pPr>
        <w:pStyle w:val="FirstParagraph"/>
      </w:pPr>
      <w:r>
        <w:t xml:space="preserve">Sector</w:t>
      </w:r>
    </w:p>
    <w:p>
      <w:pPr>
        <w:pStyle w:val="BodyText"/>
      </w:pPr>
      <w:r>
        <w:t xml:space="preserve">Q3 2022 Revenue (USD)</w:t>
      </w:r>
    </w:p>
    <w:p>
      <w:pPr>
        <w:pStyle w:val="BodyText"/>
      </w:pPr>
      <w:r>
        <w:t xml:space="preserve">Q3 2023 Revenue (USD)</w:t>
      </w:r>
    </w:p>
    <w:p>
      <w:pPr>
        <w:pStyle w:val="BodyText"/>
      </w:pPr>
      <w:r>
        <w:t xml:space="preserve">% Growth</w:t>
      </w:r>
    </w:p>
    <w:p>
      <w:pPr>
        <w:pStyle w:val="BodyText"/>
      </w:pPr>
      <w:r>
        <w:t xml:space="preserve">Municipal Government</w:t>
      </w:r>
    </w:p>
    <w:p>
      <w:pPr>
        <w:pStyle w:val="BodyText"/>
      </w:pPr>
      <w:r>
        <w:t xml:space="preserve">$18.4M</w:t>
      </w:r>
    </w:p>
    <w:p>
      <w:pPr>
        <w:pStyle w:val="BodyText"/>
      </w:pPr>
      <w:r>
        <w:t xml:space="preserve">$27.9M</w:t>
      </w:r>
    </w:p>
    <w:p>
      <w:pPr>
        <w:pStyle w:val="BodyText"/>
      </w:pPr>
      <w:r>
        <w:t xml:space="preserve">51.6%</w:t>
      </w:r>
    </w:p>
    <w:p>
      <w:pPr>
        <w:pStyle w:val="BodyText"/>
      </w:pPr>
      <w:r>
        <w:t xml:space="preserve">Commercial Real Estate Development</w:t>
      </w:r>
    </w:p>
    <w:p>
      <w:pPr>
        <w:pStyle w:val="BodyText"/>
      </w:pPr>
      <w:r>
        <w:t xml:space="preserve">$9.8M</w:t>
      </w:r>
    </w:p>
    <w:p>
      <w:pPr>
        <w:pStyle w:val="BodyText"/>
      </w:pPr>
      <w:r>
        <w:t xml:space="preserve">$15.2M</w:t>
      </w:r>
    </w:p>
    <w:p>
      <w:pPr>
        <w:pStyle w:val="BodyText"/>
      </w:pPr>
      <w:r>
        <w:t xml:space="preserve">55.1%</w:t>
      </w:r>
    </w:p>
    <w:p>
      <w:pPr>
        <w:pStyle w:val="BodyText"/>
      </w:pPr>
      <w:r>
        <w:t xml:space="preserve">Public Transit Authorities</w:t>
      </w:r>
    </w:p>
    <w:p>
      <w:pPr>
        <w:pStyle w:val="BodyText"/>
      </w:pPr>
      <w:r>
        <w:t xml:space="preserve">$6.3M</w:t>
      </w:r>
      <w:r>
        <w:br/>
      </w:r>
      <w:r>
        <w:rPr>
          <w:rStyle w:val="VerbatimChar"/>
        </w:rPr>
        <w:t xml:space="preserve">  Total Q3 2023 Revenue (Chicago): $87.5M  — Municipal: $49.1M  — Commercial: $27.6M  — Transit: $10.8M      </w:t>
      </w:r>
    </w:p>
    <w:bookmarkEnd w:id="24"/>
    <w:bookmarkEnd w:id="25"/>
    <w:bookmarkStart w:id="26" w:name="iv.-competitive-landscape-analysis"/>
    <w:p>
      <w:pPr>
        <w:pStyle w:val="Heading2"/>
      </w:pPr>
      <w:r>
        <w:t xml:space="preserve">IV. Competitive Landscape Analysis</w:t>
      </w:r>
    </w:p>
    <w:p>
      <w:pPr>
        <w:pStyle w:val="FirstParagraph"/>
      </w:pPr>
      <w:r>
        <w:t xml:space="preserve">Chicago's civil engineering market features intense competition from national firms (e.g., AECOM, HDR) and regional players (e.g., Schuler Shook). Our Sales Report identifies key differentiators:</w:t>
      </w:r>
    </w:p>
    <w:p>
      <w:pPr>
        <w:numPr>
          <w:ilvl w:val="0"/>
          <w:numId w:val="1003"/>
        </w:numPr>
        <w:pStyle w:val="Compact"/>
      </w:pPr>
      <w:r>
        <w:rPr>
          <w:bCs/>
          <w:b/>
        </w:rPr>
        <w:t xml:space="preserve">Hyper-Local Expertise:</w:t>
      </w:r>
      <w:r>
        <w:t xml:space="preserve"> </w:t>
      </w:r>
      <w:r>
        <w:t xml:space="preserve">89% of Chicago clients cited our Civil Engineer team's intimate knowledge of Chicago's soil conditions and permitting processes as decisive in selection.</w:t>
      </w:r>
    </w:p>
    <w:p>
      <w:pPr>
        <w:numPr>
          <w:ilvl w:val="0"/>
          <w:numId w:val="1003"/>
        </w:numPr>
        <w:pStyle w:val="Compact"/>
      </w:pPr>
      <w:r>
        <w:rPr>
          <w:bCs/>
          <w:b/>
        </w:rPr>
        <w:t xml:space="preserve">Sustainability Integration:</w:t>
      </w:r>
      <w:r>
        <w:t xml:space="preserve"> </w:t>
      </w:r>
      <w:r>
        <w:t xml:space="preserve">73% of new contracts included our proprietary "Chicago Climate-Responsive Design Framework," setting us apart from competitors offering generic green engineering solutions.</w:t>
      </w:r>
    </w:p>
    <w:p>
      <w:pPr>
        <w:numPr>
          <w:ilvl w:val="0"/>
          <w:numId w:val="1003"/>
        </w:numPr>
        <w:pStyle w:val="Compact"/>
      </w:pPr>
      <w:r>
        <w:rPr>
          <w:bCs/>
          <w:b/>
        </w:rPr>
        <w:t xml:space="preserve">Response Time:</w:t>
      </w:r>
      <w:r>
        <w:t xml:space="preserve"> </w:t>
      </w:r>
      <w:r>
        <w:t xml:space="preserve">Average proposal turnaround for Chicago municipal projects: 4.2 days (vs. industry average of 11 days), directly attributed to our dedicated Chicago Civil Engineer liaison team.</w:t>
      </w:r>
    </w:p>
    <w:bookmarkEnd w:id="26"/>
    <w:bookmarkStart w:id="27" w:name="v.-challenges-mitigation-strategies"/>
    <w:p>
      <w:pPr>
        <w:pStyle w:val="Heading2"/>
      </w:pPr>
      <w:r>
        <w:t xml:space="preserve">V. Challenges &amp; Mitigation Strategies</w:t>
      </w:r>
    </w:p>
    <w:p>
      <w:pPr>
        <w:pStyle w:val="FirstParagraph"/>
      </w:pPr>
      <w:r>
        <w:t xml:space="preserve">While growth was strong, we identified critical challenges requiring strategic adjustment:</w:t>
      </w:r>
    </w:p>
    <w:p>
      <w:pPr>
        <w:numPr>
          <w:ilvl w:val="0"/>
          <w:numId w:val="1004"/>
        </w:numPr>
        <w:pStyle w:val="Compact"/>
      </w:pPr>
      <w:r>
        <w:rPr>
          <w:bCs/>
          <w:b/>
        </w:rPr>
        <w:t xml:space="preserve">Workforce Shortage:</w:t>
      </w:r>
      <w:r>
        <w:t xml:space="preserve"> </w:t>
      </w:r>
      <w:r>
        <w:t xml:space="preserve">68% of Chicago Civil Engineer positions remained unfilled for &gt;90 days due to regional talent scarcity. *Mitigation:* Partnered with University of Illinois at Urbana-Champaign and DePaul University for targeted recruitment; added $12K relocation bonus for out-of-state hires.</w:t>
      </w:r>
    </w:p>
    <w:p>
      <w:pPr>
        <w:numPr>
          <w:ilvl w:val="0"/>
          <w:numId w:val="1004"/>
        </w:numPr>
        <w:pStyle w:val="Compact"/>
      </w:pPr>
      <w:r>
        <w:rPr>
          <w:bCs/>
          <w:b/>
        </w:rPr>
        <w:t xml:space="preserve">Regulatory Complexity:</w:t>
      </w:r>
      <w:r>
        <w:t xml:space="preserve"> </w:t>
      </w:r>
      <w:r>
        <w:t xml:space="preserve">Chicago's 87-page zoning code revisions caused 23% of project delays. *Mitigation:* Created "Chicago Code Navigator" digital tool (co-developed with City Planning Department) reducing compliance time by 40%.</w:t>
      </w:r>
    </w:p>
    <w:bookmarkEnd w:id="27"/>
    <w:bookmarkStart w:id="28" w:name="Xd2d72b655142785a007e1aa8464847dd5b59842"/>
    <w:p>
      <w:pPr>
        <w:pStyle w:val="Heading2"/>
      </w:pPr>
      <w:r>
        <w:t xml:space="preserve">VI. Future Outlook: Strategic Imperatives for United States Chicago Market</w:t>
      </w:r>
    </w:p>
    <w:p>
      <w:pPr>
        <w:pStyle w:val="FirstParagraph"/>
      </w:pPr>
      <w:r>
        <w:t xml:space="preserve">The upcoming $5.7B Chicago Infrastructure Investment Plan (2024-2030) presents unprecedented opportunity. Our Sales Report recommends three priority initiatives:</w:t>
      </w:r>
    </w:p>
    <w:p>
      <w:pPr>
        <w:numPr>
          <w:ilvl w:val="0"/>
          <w:numId w:val="1005"/>
        </w:numPr>
        <w:pStyle w:val="Compact"/>
      </w:pPr>
      <w:r>
        <w:rPr>
          <w:bCs/>
          <w:b/>
        </w:rPr>
        <w:t xml:space="preserve">Establish Chicago Innovation Hub:</w:t>
      </w:r>
      <w:r>
        <w:t xml:space="preserve"> </w:t>
      </w:r>
      <w:r>
        <w:t xml:space="preserve">Dedicate $3M to create a physical center for Civil Engineer R&amp;D focused on flood-resilient infrastructure—a critical need after 2023's record rainfall events.</w:t>
      </w:r>
    </w:p>
    <w:p>
      <w:pPr>
        <w:numPr>
          <w:ilvl w:val="0"/>
          <w:numId w:val="1005"/>
        </w:numPr>
        <w:pStyle w:val="Compact"/>
      </w:pPr>
      <w:r>
        <w:rPr>
          <w:bCs/>
          <w:b/>
        </w:rPr>
        <w:t xml:space="preserve">Expand Municipal Partnership Program:</w:t>
      </w:r>
      <w:r>
        <w:t xml:space="preserve"> </w:t>
      </w:r>
      <w:r>
        <w:t xml:space="preserve">Target 15+ new government contracts by Q4 2024, building on our current CDOT and MWRD relationships.</w:t>
      </w:r>
    </w:p>
    <w:p>
      <w:pPr>
        <w:numPr>
          <w:ilvl w:val="0"/>
          <w:numId w:val="1005"/>
        </w:numPr>
        <w:pStyle w:val="Compact"/>
      </w:pPr>
      <w:r>
        <w:rPr>
          <w:bCs/>
          <w:b/>
        </w:rPr>
        <w:t xml:space="preserve">Certification Investment:</w:t>
      </w:r>
      <w:r>
        <w:t xml:space="preserve"> </w:t>
      </w:r>
      <w:r>
        <w:t xml:space="preserve">Fund 50% tuition reimbursement for Chicago Civil Engineer staff pursuing LEED AP and CDM certifications to strengthen sustainability service offerings.</w:t>
      </w:r>
    </w:p>
    <w:bookmarkEnd w:id="28"/>
    <w:bookmarkStart w:id="29" w:name="vii.-conclusion"/>
    <w:p>
      <w:pPr>
        <w:pStyle w:val="Heading2"/>
      </w:pPr>
      <w:r>
        <w:t xml:space="preserve">VII. Conclusion</w:t>
      </w:r>
    </w:p>
    <w:p>
      <w:pPr>
        <w:pStyle w:val="FirstParagraph"/>
      </w:pPr>
      <w:r>
        <w:t xml:space="preserve">This Sales Report confirms that the United States Chicago market has cemented its position as our flagship region for civil engineering services. The strategic alignment between our Civil Engineer capabilities and Chicago's infrastructure priorities—not merely a geographic location but an ecosystem of innovation—has driven exceptional performance. As we prepare for the next phase of Chicago's transformation, our team remains committed to delivering engineering excellence that meets the city's highest standards while advancing national best practices.</w:t>
      </w:r>
    </w:p>
    <w:p>
      <w:pPr>
        <w:pStyle w:val="BodyText"/>
      </w:pPr>
      <w:r>
        <w:t xml:space="preserve">With $87.5M in active Chicago projects and 12 new contracts in final negotiation, our Civil Engineer team is positioned to lead infrastructure development not just for Chicago but as a blueprint for cities nationwide. The data is clear: In the United States, when it comes to civil engineering excellence, Chicago sets the standard.</w:t>
      </w:r>
    </w:p>
    <w:p>
      <w:pPr>
        <w:pStyle w:val="BodyText"/>
      </w:pPr>
      <w:r>
        <w:rPr>
          <w:bCs/>
          <w:b/>
        </w:rPr>
        <w:t xml:space="preserve">Prepared By:</w:t>
      </w:r>
      <w:r>
        <w:t xml:space="preserve"> </w:t>
      </w:r>
      <w:r>
        <w:t xml:space="preserve">James Rivera, Director of Midwest Sales Operations</w:t>
      </w:r>
      <w:r>
        <w:br/>
      </w:r>
      <w:r>
        <w:rPr>
          <w:bCs/>
          <w:b/>
        </w:rPr>
        <w:t xml:space="preserve">Submitted To:</w:t>
      </w:r>
      <w:r>
        <w:t xml:space="preserve"> </w:t>
      </w:r>
      <w:r>
        <w:t xml:space="preserve">National Executive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Performance Report: United States Chicago Market</dc:title>
  <dc:creator/>
  <dc:language>en</dc:language>
  <cp:keywords/>
  <dcterms:created xsi:type="dcterms:W3CDTF">2026-07-23T16:48:34Z</dcterms:created>
  <dcterms:modified xsi:type="dcterms:W3CDTF">2026-07-23T16:48:34Z</dcterms:modified>
</cp:coreProperties>
</file>

<file path=docProps/custom.xml><?xml version="1.0" encoding="utf-8"?>
<Properties xmlns="http://schemas.openxmlformats.org/officeDocument/2006/custom-properties" xmlns:vt="http://schemas.openxmlformats.org/officeDocument/2006/docPropsVTypes"/>
</file>