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7" w:name="Xd1e25806360763db948940d436eccb7055dc0b8"/>
    <w:p>
      <w:pPr>
        <w:pStyle w:val="Heading1"/>
      </w:pPr>
      <w:r>
        <w:t xml:space="preserve">Comprehensive Sales Report: Civil Engineering Services in United States Los Angeles Market</w:t>
      </w:r>
    </w:p>
    <w:bookmarkStart w:id="20" w:name="executive-summary"/>
    <w:p>
      <w:pPr>
        <w:pStyle w:val="Heading2"/>
      </w:pPr>
      <w:r>
        <w:t xml:space="preserve">Executive Summary</w:t>
      </w:r>
    </w:p>
    <w:p>
      <w:pPr>
        <w:pStyle w:val="FirstParagraph"/>
      </w:pPr>
      <w:r>
        <w:t xml:space="preserve">This official sales report details the performance and strategic positioning of civil engineering services across the United States Los Angeles metropolitan area for Q3 2023. As the most populous city in California and a major economic engine for Southern California, Los Angeles presents unique opportunities and challenges for civil engineering firms. Our analysis confirms that demand for specialized civil engineering solutions has grown by 14% year-over-year, driven by infrastructure modernization initiatives, seismic resilience projects, and sustainable urban development. This report outlines critical sales metrics, market trends, and strategic recommendations to capitalize on Los Angeles' evolving construction landscape.</w:t>
      </w:r>
    </w:p>
    <w:bookmarkEnd w:id="20"/>
    <w:bookmarkStart w:id="21" w:name="Xf18d1b79c10049d6f2219f56ecad362abe01c62"/>
    <w:p>
      <w:pPr>
        <w:pStyle w:val="Heading2"/>
      </w:pPr>
      <w:r>
        <w:t xml:space="preserve">Market Context: Why Los Angeles Drives Civil Engineering Sales</w:t>
      </w:r>
    </w:p>
    <w:p>
      <w:pPr>
        <w:pStyle w:val="FirstParagraph"/>
      </w:pPr>
      <w:r>
        <w:t xml:space="preserve">Los Angeles operates as a hyper-dynamic market where civil engineering services directly impact 4 million residents and $1.3 trillion in economic activity. The City of Los Angeles' "Great Streets Initiative" alone allocates $500 million for street modernization, while the Metro Rail Expansion Program requires continuous civil engineering oversight across 70+ miles of new transit corridors. With over 2,800 active construction permits issued monthly in LA County, civil engineers are not merely service providers but strategic business partners essential for project compliance and community impact. This report confirms that firms with deep local knowledge of Los Angeles' complex zoning codes (e.g., Measure J funding requirements) and seismic retrofitting standards consistently capture 22% more market share than generic national competitors.</w:t>
      </w:r>
    </w:p>
    <w:bookmarkEnd w:id="21"/>
    <w:bookmarkStart w:id="22" w:name="q3-2023-sales-performance-analysis"/>
    <w:p>
      <w:pPr>
        <w:pStyle w:val="Heading2"/>
      </w:pPr>
      <w:r>
        <w:t xml:space="preserve">Q3 2023 Sales Performance Analysis</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Market Share Target (LA)</w:t>
      </w:r>
    </w:p>
    <w:p>
      <w:pPr>
        <w:pStyle w:val="BodyText"/>
      </w:pPr>
      <w:r>
        <w:t xml:space="preserve">Total Contract Value</w:t>
      </w:r>
    </w:p>
    <w:p>
      <w:pPr>
        <w:pStyle w:val="BodyText"/>
      </w:pPr>
      <w:r>
        <w:t xml:space="preserve">$14.7M</w:t>
      </w:r>
    </w:p>
    <w:p>
      <w:pPr>
        <w:pStyle w:val="BodyText"/>
      </w:pPr>
      <w:r>
        <w:t xml:space="preserve">+18.3%</w:t>
      </w:r>
    </w:p>
    <w:p>
      <w:pPr>
        <w:pStyle w:val="BodyText"/>
      </w:pPr>
      <w:r>
        <w:t xml:space="preserve">$12.5M</w:t>
      </w:r>
    </w:p>
    <w:p>
      <w:pPr>
        <w:pStyle w:val="BodyText"/>
      </w:pPr>
      <w:r>
        <w:t xml:space="preserve">New Client Acquisition Rate</w:t>
      </w:r>
    </w:p>
    <w:p>
      <w:pPr>
        <w:pStyle w:val="BodyText"/>
      </w:pPr>
      <w:r>
        <w:t xml:space="preserve">&lt;</w:t>
      </w:r>
    </w:p>
    <w:p>
      <w:pPr>
        <w:pStyle w:val="BodyText"/>
      </w:pPr>
      <w:r>
        <w:t xml:space="preserve">37% (29 new clients)</w:t>
      </w:r>
    </w:p>
    <w:p>
      <w:pPr>
        <w:pStyle w:val="BodyText"/>
      </w:pPr>
      <w:r>
        <w:t xml:space="preserve">+9.8%</w:t>
      </w:r>
    </w:p>
    <w:p>
      <w:pPr>
        <w:pStyle w:val="BodyText"/>
      </w:pPr>
      <w:r>
        <w:t xml:space="preserve">N/A</w:t>
      </w:r>
    </w:p>
    <w:p>
      <w:pPr>
        <w:pStyle w:val="BodyText"/>
      </w:pPr>
      <w:r>
        <w:t xml:space="preserve">Project Pipeline Value</w:t>
      </w:r>
    </w:p>
    <w:p>
      <w:pPr>
        <w:pStyle w:val="BodyText"/>
      </w:pPr>
      <w:r>
        <w:t xml:space="preserve">$42.1M</w:t>
      </w:r>
    </w:p>
    <w:p>
      <w:pPr>
        <w:pStyle w:val="BodyText"/>
      </w:pPr>
      <w:r>
        <w:t xml:space="preserve">&lt;</w:t>
      </w:r>
    </w:p>
    <w:p>
      <w:pPr>
        <w:pStyle w:val="BodyText"/>
      </w:pPr>
      <w:r>
        <w:t xml:space="preserve">+23.6%</w:t>
      </w:r>
    </w:p>
    <w:p>
      <w:pPr>
        <w:pStyle w:val="BodyText"/>
      </w:pPr>
      <w:r>
        <w:t xml:space="preserve">Client Retention Rate (LA Clients)</w:t>
      </w:r>
    </w:p>
    <w:p>
      <w:pPr>
        <w:pStyle w:val="BodyText"/>
      </w:pPr>
      <w:r>
        <w:t xml:space="preserve">92%</w:t>
      </w:r>
    </w:p>
    <w:p>
      <w:pPr>
        <w:pStyle w:val="BodyText"/>
      </w:pPr>
      <w:r>
        <w:t xml:space="preserve">The 18.3% growth in total contract value directly correlates with our targeted expansion into Los Angeles-specific verticals: transportation infrastructure (42% of revenue), sustainable water management (31%), and earthquake-resilient commercial construction (27%). Notably, 76% of new sales closed within LA County, demonstrating strong regional market penetration. Our competitive edge stems from certified LEED and Caltrans-accredited civil engineers who navigate Los Angeles' unique regulatory environment—from the City's Sustainable Buildings Program to the Department of Public Works' mandatory seismic assessments.</w:t>
      </w:r>
    </w:p>
    <w:bookmarkEnd w:id="22"/>
    <w:bookmarkStart w:id="23" w:name="X29f2c7cd104673e99cdb41ab151f86d6854aaa8"/>
    <w:p>
      <w:pPr>
        <w:pStyle w:val="Heading2"/>
      </w:pPr>
      <w:r>
        <w:t xml:space="preserve">Key Project Highlights in United States Los Angeles</w:t>
      </w:r>
    </w:p>
    <w:p>
      <w:pPr>
        <w:pStyle w:val="FirstParagraph"/>
      </w:pPr>
      <w:r>
        <w:rPr>
          <w:bCs/>
          <w:b/>
        </w:rPr>
        <w:t xml:space="preserve">1. Downtown LA River Revitalization (City Contract #LA-IR-087):</w:t>
      </w:r>
      <w:r>
        <w:t xml:space="preserve"> </w:t>
      </w:r>
      <w:r>
        <w:t xml:space="preserve">Secured $5.2M contract for flood control design and habitat restoration along 3 miles of the LA River. This project exemplifies the integration of civil engineering services with community engagement, requiring our team to coordinate with 14 neighborhood associations under Los Angeles' Environmental Justice Policy. The sale closed after demonstrating compliance with the city's new "Green Street" ordinance (LA Municipal Code §16.02), directly contributing to 9% of our Q3 revenue.</w:t>
      </w:r>
    </w:p>
    <w:p>
      <w:pPr>
        <w:pStyle w:val="BodyText"/>
      </w:pPr>
      <w:r>
        <w:rPr>
          <w:bCs/>
          <w:b/>
        </w:rPr>
        <w:t xml:space="preserve">2. Sepulveda Transit Corridor Expansion (Metro Contract #MTR-33):</w:t>
      </w:r>
      <w:r>
        <w:t xml:space="preserve"> </w:t>
      </w:r>
      <w:r>
        <w:t xml:space="preserve">Won $8.4M design-build contract for the new Metro Line 5 extension through Sepulveda Pass—a project where civil engineers resolved complex subsurface challenges (including active fault lines) that stalled previous bidders. Our team's proprietary "Seismic Risk Assessment Suite" became a key sales differentiator, allowing us to exceed client expectations in safety planning and secure a 3-year service agreement.</w:t>
      </w:r>
    </w:p>
    <w:p>
      <w:pPr>
        <w:pStyle w:val="BodyText"/>
      </w:pPr>
      <w:r>
        <w:rPr>
          <w:bCs/>
          <w:b/>
        </w:rPr>
        <w:t xml:space="preserve">3. LA Unified School District Modernization:</w:t>
      </w:r>
      <w:r>
        <w:t xml:space="preserve"> </w:t>
      </w:r>
      <w:r>
        <w:t xml:space="preserve">Closed three separate contracts totaling $2.8M for earthquake retrofitting of 12 aging campuses across Los Angeles Unified School District (LAUSD). This multi-phase initiative highlights how civil engineer expertise directly supports community safety—our solutions met the district's stringent "Student Safety First" standards while optimizing budget use through value engineering.</w:t>
      </w:r>
    </w:p>
    <w:bookmarkEnd w:id="23"/>
    <w:bookmarkStart w:id="24" w:name="X308ccafe3a5bdbba6148862d44a53dfd16bbbea"/>
    <w:p>
      <w:pPr>
        <w:pStyle w:val="Heading2"/>
      </w:pPr>
      <w:r>
        <w:t xml:space="preserve">Market Challenges &amp; Strategic Sales Opportunities</w:t>
      </w:r>
    </w:p>
    <w:p>
      <w:pPr>
        <w:pStyle w:val="FirstParagraph"/>
      </w:pPr>
      <w:r>
        <w:t xml:space="preserve">The Los Angeles market presents distinct challenges requiring nuanced sales approaches. Rising material costs (up 19% YoY for steel and concrete) necessitate our civil engineers to present cost-savings analysis in all proposals—a capability that increased our win rate by 31% when included. Additionally, LA's complex permitting process (averaging 8-12 months for major projects) demands civil engineering firms with in-house permit expediting expertise, which we've embedded into sales discussions.</w:t>
      </w:r>
    </w:p>
    <w:p>
      <w:pPr>
        <w:pStyle w:val="BodyText"/>
      </w:pPr>
      <w:r>
        <w:t xml:space="preserve">Emerging opportunities include:</w:t>
      </w:r>
    </w:p>
    <w:p>
      <w:pPr>
        <w:numPr>
          <w:ilvl w:val="0"/>
          <w:numId w:val="1001"/>
        </w:numPr>
        <w:pStyle w:val="Compact"/>
      </w:pPr>
      <w:r>
        <w:rPr>
          <w:bCs/>
          <w:b/>
        </w:rPr>
        <w:t xml:space="preserve">Zero-Emission Infrastructure:</w:t>
      </w:r>
      <w:r>
        <w:t xml:space="preserve"> </w:t>
      </w:r>
      <w:r>
        <w:t xml:space="preserve">Los Angeles' Clean Air Action Plan requires 100% zero-emission construction by 2035—creating demand for civil engineers specializing in EV charging infrastructure and sustainable paving.</w:t>
      </w:r>
    </w:p>
    <w:p>
      <w:pPr>
        <w:numPr>
          <w:ilvl w:val="0"/>
          <w:numId w:val="1001"/>
        </w:numPr>
        <w:pStyle w:val="Compact"/>
      </w:pPr>
      <w:r>
        <w:rPr>
          <w:bCs/>
          <w:b/>
        </w:rPr>
        <w:t xml:space="preserve">Water Resilience Projects:</w:t>
      </w:r>
      <w:r>
        <w:t xml:space="preserve"> </w:t>
      </w:r>
      <w:r>
        <w:t xml:space="preserve">With the State Water Project's "Drought-Resilient LA" initiative, we've developed a sales pitch focused on greywater systems and stormwater capture that secured 4 contracts worth $1.7M in Q3.</w:t>
      </w:r>
    </w:p>
    <w:p>
      <w:pPr>
        <w:numPr>
          <w:ilvl w:val="0"/>
          <w:numId w:val="1001"/>
        </w:numPr>
        <w:pStyle w:val="Compact"/>
      </w:pPr>
      <w:r>
        <w:rPr>
          <w:bCs/>
          <w:b/>
        </w:rPr>
        <w:t xml:space="preserve">Municipal Bond Programs:</w:t>
      </w:r>
      <w:r>
        <w:t xml:space="preserve"> </w:t>
      </w:r>
      <w:r>
        <w:t xml:space="preserve">The City of Los Angeles' recent $500M bond for infrastructure renewal (Measure U) is generating RFPs requiring civil engineers with public works budget experience—a niche we've trained sales staff to address proactively.</w:t>
      </w:r>
    </w:p>
    <w:bookmarkEnd w:id="24"/>
    <w:bookmarkStart w:id="25" w:name="X7155b07e75de9dea9c618e256fee2c145879b30"/>
    <w:p>
      <w:pPr>
        <w:pStyle w:val="Heading2"/>
      </w:pPr>
      <w:r>
        <w:t xml:space="preserve">Strategic Recommendations for Civil Engineering Sales Growth</w:t>
      </w:r>
    </w:p>
    <w:p>
      <w:pPr>
        <w:pStyle w:val="FirstParagraph"/>
      </w:pPr>
      <w:r>
        <w:t xml:space="preserve">To dominate the United States Los Angeles market, we recommend:</w:t>
      </w:r>
    </w:p>
    <w:p>
      <w:pPr>
        <w:numPr>
          <w:ilvl w:val="0"/>
          <w:numId w:val="1002"/>
        </w:numPr>
        <w:pStyle w:val="Compact"/>
      </w:pPr>
      <w:r>
        <w:rPr>
          <w:bCs/>
          <w:b/>
        </w:rPr>
        <w:t xml:space="preserve">Localize Sales Teams:</w:t>
      </w:r>
      <w:r>
        <w:t xml:space="preserve"> </w:t>
      </w:r>
      <w:r>
        <w:t xml:space="preserve">Assign dedicated civil engineers to each LA County district (e.g., Central LA, San Fernando Valley) who understand hyperlocal issues like Venice Beach erosion or South Gate flood risks. This has reduced client onboarding time by 40%.</w:t>
      </w:r>
    </w:p>
    <w:p>
      <w:pPr>
        <w:numPr>
          <w:ilvl w:val="0"/>
          <w:numId w:val="1002"/>
        </w:numPr>
        <w:pStyle w:val="Compact"/>
      </w:pPr>
      <w:r>
        <w:rPr>
          <w:bCs/>
          <w:b/>
        </w:rPr>
        <w:t xml:space="preserve">Develop LA-Specific Case Studies:</w:t>
      </w:r>
      <w:r>
        <w:t xml:space="preserve"> </w:t>
      </w:r>
      <w:r>
        <w:t xml:space="preserve">Document projects like the Wilshire Corridor drainage solution to showcase compliance with Los Angeles' strict stormwater management rules (Municipal Code §13.29). These case studies increase proposal conversion rates by 27%.</w:t>
      </w:r>
    </w:p>
    <w:p>
      <w:pPr>
        <w:numPr>
          <w:ilvl w:val="0"/>
          <w:numId w:val="1002"/>
        </w:numPr>
        <w:pStyle w:val="Compact"/>
      </w:pPr>
      <w:r>
        <w:rPr>
          <w:bCs/>
          <w:b/>
        </w:rPr>
        <w:t xml:space="preserve">Prioritize Sustainability Credentials:</w:t>
      </w:r>
      <w:r>
        <w:t xml:space="preserve"> </w:t>
      </w:r>
      <w:r>
        <w:t xml:space="preserve">68% of LA public projects now require LEED Silver certification. Our sales team must lead with engineer credentials in sustainable design to meet this growing requirement.</w:t>
      </w:r>
    </w:p>
    <w:p>
      <w:pPr>
        <w:numPr>
          <w:ilvl w:val="0"/>
          <w:numId w:val="1002"/>
        </w:numPr>
        <w:pStyle w:val="Compact"/>
      </w:pPr>
      <w:r>
        <w:rPr>
          <w:bCs/>
          <w:b/>
        </w:rPr>
        <w:t xml:space="preserve">Build Community Partnerships:</w:t>
      </w:r>
      <w:r>
        <w:t xml:space="preserve"> </w:t>
      </w:r>
      <w:r>
        <w:t xml:space="preserve">Collaborate with organizations like the Los Angeles Economic Development Corporation (LAEDC) for joint workshops on infrastructure needs—turning networking into qualified leads.</w:t>
      </w:r>
    </w:p>
    <w:bookmarkEnd w:id="25"/>
    <w:bookmarkStart w:id="26" w:name="Xf25c53e301c8f9b75e949ac45a1350cb7142cc8"/>
    <w:p>
      <w:pPr>
        <w:pStyle w:val="Heading2"/>
      </w:pPr>
      <w:r>
        <w:t xml:space="preserve">Conclusion: Civil Engineering as a Strategic Sales Driver</w:t>
      </w:r>
    </w:p>
    <w:p>
      <w:pPr>
        <w:pStyle w:val="FirstParagraph"/>
      </w:pPr>
      <w:r>
        <w:t xml:space="preserve">This Sales Report confirms that in the United States Los Angeles market, civil engineers are not just technical service providers but revenue generators who unlock high-value contracts through regulatory expertise and community alignment. The 14% YoY growth in civil engineering services demonstrates how firms with localized knowledge outperform national competitors by addressing LA-specific pain points—from seismic codes to environmental justice requirements. As Los Angeles invests $23 billion in infrastructure over the next decade (per Mayor Bass' 2023 Capital Improvement Plan), civil engineering sales will remain a critical growth vector for our firm.</w:t>
      </w:r>
    </w:p>
    <w:p>
      <w:pPr>
        <w:pStyle w:val="BodyText"/>
      </w:pPr>
      <w:r>
        <w:t xml:space="preserve">Our strategic focus on LA's unique regulatory landscape, coupled with measurable project outcomes like the Sepulveda Transit Corridor success, positions us to capture 35% of the high-priority civil engineering market in Los Angeles by Q2 2024. This report serves as both a performance record and a roadmap: where civil engineers deliver compliance and innovation, sales opportunities flourish in America's most complex urban environment.</w:t>
      </w:r>
    </w:p>
    <w:p>
      <w:pPr>
        <w:pStyle w:val="BodyText"/>
      </w:pPr>
      <w:r>
        <w:rPr>
          <w:iCs/>
          <w:i/>
        </w:rPr>
        <w:t xml:space="preserve">Prepared for Executive Leadership &amp; Sales Strategy Committee | Date: October 17,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Los Angeles Market Analysis</dc:title>
  <dc:creator/>
  <dc:language>en</dc:language>
  <cp:keywords/>
  <dcterms:created xsi:type="dcterms:W3CDTF">2026-07-24T13:43:12Z</dcterms:created>
  <dcterms:modified xsi:type="dcterms:W3CDTF">2026-07-24T13:43:12Z</dcterms:modified>
</cp:coreProperties>
</file>

<file path=docProps/custom.xml><?xml version="1.0" encoding="utf-8"?>
<Properties xmlns="http://schemas.openxmlformats.org/officeDocument/2006/custom-properties" xmlns:vt="http://schemas.openxmlformats.org/officeDocument/2006/docPropsVTypes"/>
</file>