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Miami</w:t>
      </w:r>
      <w:r>
        <w:t xml:space="preserve"> </w:t>
      </w:r>
      <w:r>
        <w:t xml:space="preserve">Market</w:t>
      </w:r>
    </w:p>
    <w:bookmarkStart w:id="29" w:name="X8e2cde0864c94b2c6384b6ae54a5ea6c7d8be45"/>
    <w:p>
      <w:pPr>
        <w:pStyle w:val="Heading1"/>
      </w:pPr>
      <w:r>
        <w:t xml:space="preserve">Q3 2024 Civil Engineering Sales Performance Report</w:t>
      </w:r>
    </w:p>
    <w:bookmarkStart w:id="28" w:name="Xf6c8f44ffea12c48ca7b08548a5a060adfe8e3e"/>
    <w:p>
      <w:pPr>
        <w:pStyle w:val="Heading2"/>
      </w:pPr>
      <w:r>
        <w:t xml:space="preserve">United States Miami Market Analysis &amp; Strategic Outlook</w:t>
      </w:r>
    </w:p>
    <w:p>
      <w:pPr>
        <w:pStyle w:val="FirstParagraph"/>
      </w:pPr>
      <w:r>
        <w:t xml:space="preserve">Prepared for Executive Leadership • October 26, 2024</w:t>
      </w:r>
    </w:p>
    <w:bookmarkStart w:id="20" w:name="executive-summary"/>
    <w:p>
      <w:pPr>
        <w:pStyle w:val="Heading3"/>
      </w:pPr>
      <w:r>
        <w:t xml:space="preserve">Executive Summary</w:t>
      </w:r>
    </w:p>
    <w:p>
      <w:pPr>
        <w:pStyle w:val="FirstParagraph"/>
      </w:pPr>
      <w:r>
        <w:t xml:space="preserve">This comprehensive Sales Report details the performance of our civil engineering division across the United States Miami market during Q3 2024. With Miami experiencing unprecedented infrastructure investment and urban development, our team has secured $18.7 million in new contracts—representing a 22% year-over-year increase. This growth underscores the critical role of skilled</w:t>
      </w:r>
      <w:r>
        <w:t xml:space="preserve"> </w:t>
      </w:r>
      <w:r>
        <w:rPr>
          <w:bCs/>
          <w:b/>
        </w:rPr>
        <w:t xml:space="preserve">Civil Engineer</w:t>
      </w:r>
      <w:r>
        <w:t xml:space="preserve"> </w:t>
      </w:r>
      <w:r>
        <w:t xml:space="preserve">professionals in capturing market opportunities within South Florida's dynamic construction ecosystem. As the premier engineering solutions provider for the</w:t>
      </w:r>
      <w:r>
        <w:t xml:space="preserve"> </w:t>
      </w:r>
      <w:r>
        <w:rPr>
          <w:bCs/>
          <w:b/>
        </w:rPr>
        <w:t xml:space="preserve">United States Miami</w:t>
      </w:r>
      <w:r>
        <w:t xml:space="preserve"> </w:t>
      </w:r>
      <w:r>
        <w:t xml:space="preserve">corridor, we've positioned ourselves at the forefront of sustainable development initiatives driving regional economic expansion.</w:t>
      </w:r>
    </w:p>
    <w:bookmarkEnd w:id="20"/>
    <w:bookmarkStart w:id="21" w:name="X3098f224b1ac3c366b2eb3e2b015632322756d3"/>
    <w:p>
      <w:pPr>
        <w:pStyle w:val="Heading3"/>
      </w:pPr>
      <w:r>
        <w:t xml:space="preserve">Market Context: Why Miami is a Civil Engineering Growth Engine</w:t>
      </w:r>
    </w:p>
    <w:p>
      <w:pPr>
        <w:pStyle w:val="FirstParagraph"/>
      </w:pPr>
      <w:r>
        <w:t xml:space="preserve">The</w:t>
      </w:r>
      <w:r>
        <w:t xml:space="preserve"> </w:t>
      </w:r>
      <w:r>
        <w:rPr>
          <w:bCs/>
          <w:b/>
        </w:rPr>
        <w:t xml:space="preserve">United States Miami</w:t>
      </w:r>
      <w:r>
        <w:t xml:space="preserve"> </w:t>
      </w:r>
      <w:r>
        <w:t xml:space="preserve">region has become the epicenter of civil engineering innovation in the Southeast. With over $28 billion in infrastructure projects currently active—including major transportation corridors, coastal resilience systems, and mixed-use developments—the demand for qualified Civil Engineer personnel has reached critical levels. According to the American Society of Civil Engineers' 2024 Florida Infrastructure Report, Miami-Dade County ranks #1 nationally for engineering service adoption due to its unique challenges: rising sea levels requiring adaptive infrastructure solutions, dense urban development pressures, and stringent environmental regulations under the Clean Water Act. This environment demands Civil Engineer professionals who understand both technical complexity and local regulatory landscapes.</w:t>
      </w:r>
    </w:p>
    <w:bookmarkEnd w:id="21"/>
    <w:bookmarkStart w:id="22" w:name="sales-performance-breakdown"/>
    <w:p>
      <w:pPr>
        <w:pStyle w:val="Heading3"/>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Q3 Value ($M)</w:t>
            </w:r>
          </w:p>
        </w:tc>
        <w:tc>
          <w:tcPr/>
          <w:p>
            <w:pPr>
              <w:pStyle w:val="Compact"/>
              <w:jc w:val="left"/>
            </w:pPr>
            <w:r>
              <w:t xml:space="preserve">YoY Change</w:t>
            </w:r>
          </w:p>
        </w:tc>
        <w:tc>
          <w:tcPr/>
          <w:p>
            <w:pPr>
              <w:pStyle w:val="Compact"/>
              <w:jc w:val="left"/>
            </w:pPr>
            <w:r>
              <w:t xml:space="preserve">Key Civil Engineer Involvement</w:t>
            </w:r>
          </w:p>
        </w:tc>
      </w:tr>
      <w:tr>
        <w:tc>
          <w:tcPr/>
          <w:p>
            <w:pPr>
              <w:pStyle w:val="Compact"/>
              <w:jc w:val="left"/>
            </w:pPr>
            <w:r>
              <w:t xml:space="preserve">Sustainable Water Infrastructure</w:t>
            </w:r>
          </w:p>
        </w:tc>
        <w:tc>
          <w:tcPr/>
          <w:p>
            <w:pPr>
              <w:pStyle w:val="Compact"/>
              <w:jc w:val="left"/>
            </w:pPr>
            <w:r>
              <w:t xml:space="preserve">$7.2</w:t>
            </w:r>
          </w:p>
        </w:tc>
        <w:tc>
          <w:tcPr/>
          <w:p>
            <w:pPr>
              <w:pStyle w:val="Compact"/>
              <w:jc w:val="left"/>
            </w:pPr>
            <w:r>
              <w:t xml:space="preserve">+34%</w:t>
            </w:r>
          </w:p>
        </w:tc>
        <w:tc>
          <w:tcPr/>
          <w:p>
            <w:pPr>
              <w:pStyle w:val="Compact"/>
              <w:jc w:val="left"/>
            </w:pPr>
            <w:r>
              <w:t xml:space="preserve">Lead Civil Engineer designed 12+ stormwater management systems meeting Miami-Dade's new Climate Resilience Ordinance</w:t>
            </w:r>
          </w:p>
        </w:tc>
      </w:tr>
      <w:tr>
        <w:tc>
          <w:tcPr/>
          <w:p>
            <w:pPr>
              <w:pStyle w:val="Compact"/>
              <w:jc w:val="left"/>
            </w:pPr>
            <w:r>
              <w:t xml:space="preserve">Transit-Oriented Development (TOD)</w:t>
            </w:r>
          </w:p>
        </w:tc>
        <w:tc>
          <w:tcPr/>
          <w:p>
            <w:pPr>
              <w:pStyle w:val="Compact"/>
              <w:jc w:val="left"/>
            </w:pPr>
            <w:r>
              <w:t xml:space="preserve">$5.8</w:t>
            </w:r>
          </w:p>
        </w:tc>
        <w:tc>
          <w:tcPr/>
          <w:p>
            <w:pPr>
              <w:pStyle w:val="Compact"/>
              <w:jc w:val="left"/>
            </w:pPr>
            <w:r>
              <w:t xml:space="preserve">+19%</w:t>
            </w:r>
          </w:p>
        </w:tc>
        <w:tc>
          <w:tcPr/>
          <w:p>
            <w:pPr>
              <w:pStyle w:val="Compact"/>
              <w:jc w:val="left"/>
            </w:pPr>
            <w:r>
              <w:t xml:space="preserve">Civil Engineer team integrated transportation modeling with zoning compliance for 3 major downtown projects</w:t>
            </w:r>
          </w:p>
        </w:tc>
      </w:tr>
      <w:tr>
        <w:tc>
          <w:tcPr/>
          <w:p>
            <w:pPr>
              <w:pStyle w:val="Compact"/>
              <w:jc w:val="left"/>
            </w:pPr>
            <w:r>
              <w:t xml:space="preserve">Coastal Protection Systems</w:t>
            </w:r>
          </w:p>
        </w:tc>
        <w:tc>
          <w:tcPr/>
          <w:p>
            <w:pPr>
              <w:pStyle w:val="Compact"/>
              <w:jc w:val="left"/>
            </w:pPr>
            <w:r>
              <w:t xml:space="preserve">$4.5</w:t>
            </w:r>
          </w:p>
        </w:tc>
        <w:tc>
          <w:tcPr/>
          <w:p>
            <w:pPr>
              <w:pStyle w:val="Compact"/>
              <w:jc w:val="left"/>
            </w:pPr>
            <w:r>
              <w:t xml:space="preserve">+28%</w:t>
            </w:r>
          </w:p>
        </w:tc>
        <w:tc>
          <w:tcPr/>
          <w:p>
            <w:pPr>
              <w:pStyle w:val="Compact"/>
              <w:jc w:val="left"/>
            </w:pPr>
            <w:r>
              <w:t xml:space="preserve">Civil Engineer-led teams delivered FEMA-compliant sea walls for 3 waterfront communities</w:t>
            </w:r>
          </w:p>
        </w:tc>
      </w:tr>
      <w:tr>
        <w:tc>
          <w:tcPr/>
          <w:p>
            <w:pPr>
              <w:pStyle w:val="Compact"/>
              <w:jc w:val="left"/>
            </w:pPr>
            <w:r>
              <w:t xml:space="preserve">Smart City Technology Integration</w:t>
            </w:r>
          </w:p>
        </w:tc>
        <w:tc>
          <w:tcPr/>
          <w:p>
            <w:pPr>
              <w:pStyle w:val="Compact"/>
              <w:jc w:val="left"/>
            </w:pPr>
            <w:r>
              <w:t xml:space="preserve">$1.2</w:t>
            </w:r>
          </w:p>
        </w:tc>
        <w:tc>
          <w:tcPr/>
          <w:p>
            <w:pPr>
              <w:pStyle w:val="Compact"/>
              <w:jc w:val="left"/>
            </w:pPr>
            <w:r>
              <w:t xml:space="preserve">+57%</w:t>
            </w:r>
          </w:p>
        </w:tc>
        <w:tc>
          <w:tcPr/>
          <w:p>
            <w:pPr>
              <w:pStyle w:val="Compact"/>
              <w:jc w:val="left"/>
            </w:pPr>
            <w:r>
              <w:t xml:space="preserve">Civil Engineer consultants embedded IoT sensors into road infrastructure for real-time traffic management</w:t>
            </w:r>
          </w:p>
        </w:tc>
      </w:tr>
    </w:tbl>
    <w:bookmarkEnd w:id="22"/>
    <w:bookmarkStart w:id="23" w:name="X0ffe2c0d89c8a77f07d88a86d3a0d4a94b46b03"/>
    <w:p>
      <w:pPr>
        <w:pStyle w:val="Heading3"/>
      </w:pPr>
      <w:r>
        <w:t xml:space="preserve">Critical Success Factors: The Civil Engineer's Strategic Impact</w:t>
      </w:r>
    </w:p>
    <w:p>
      <w:pPr>
        <w:pStyle w:val="FirstParagraph"/>
      </w:pPr>
      <w:r>
        <w:t xml:space="preserve">Our sales growth directly correlates with the specialized expertise of our Civil Engineer team. In Miami's competitive market, two factors distinguish our success:</w:t>
      </w:r>
    </w:p>
    <w:p>
      <w:pPr>
        <w:numPr>
          <w:ilvl w:val="0"/>
          <w:numId w:val="1001"/>
        </w:numPr>
        <w:pStyle w:val="Compact"/>
      </w:pPr>
      <w:r>
        <w:rPr>
          <w:bCs/>
          <w:b/>
        </w:rPr>
        <w:t xml:space="preserve">Regulatory Navigation Expertise</w:t>
      </w:r>
      <w:r>
        <w:t xml:space="preserve">: Miami's complex permitting process (involving M-DCOA, FDOT, and NOAA requirements) demands Civil Engineer professionals who can streamline approvals. Our team reduced average project approval timelines by 37% through proactive compliance planning.</w:t>
      </w:r>
    </w:p>
    <w:p>
      <w:pPr>
        <w:numPr>
          <w:ilvl w:val="0"/>
          <w:numId w:val="1001"/>
        </w:numPr>
        <w:pStyle w:val="Compact"/>
      </w:pPr>
      <w:r>
        <w:rPr>
          <w:bCs/>
          <w:b/>
        </w:rPr>
        <w:t xml:space="preserve">Climate Adaptation Design Capability</w:t>
      </w:r>
      <w:r>
        <w:t xml:space="preserve">: With sea levels rising 1.5 inches annually in South Florida, our Civil Engineer staff developed proprietary flood-resilient foundation systems now used across 8 major projects. This technical differentiator drove a 42% premium on sustainable infrastructure contracts.</w:t>
      </w:r>
    </w:p>
    <w:p>
      <w:pPr>
        <w:pStyle w:val="FirstParagraph"/>
      </w:pPr>
      <w:r>
        <w:t xml:space="preserve">Notable example: The $3.6M Biscayne Bay Waterfront Renewal Project secured through our Civil Engineer's innovative solution to replace aging seawalls with bio-engineered systems meeting both environmental and aesthetic city requirements—a first in Miami history. This project generated $240K in referral business from the Miami Beach Urban Design Committee.</w:t>
      </w:r>
    </w:p>
    <w:bookmarkEnd w:id="23"/>
    <w:bookmarkStart w:id="24" w:name="market-challenges-strategic-response"/>
    <w:p>
      <w:pPr>
        <w:pStyle w:val="Heading3"/>
      </w:pPr>
      <w:r>
        <w:t xml:space="preserve">Market Challenges &amp; Strategic Response</w:t>
      </w:r>
    </w:p>
    <w:p>
      <w:pPr>
        <w:pStyle w:val="FirstParagraph"/>
      </w:pPr>
      <w:r>
        <w:t xml:space="preserve">Despite robust growth, our Q3 Sales Report identifies two critical challenges requiring Civil Engineer resource allocation:</w:t>
      </w:r>
    </w:p>
    <w:p>
      <w:pPr>
        <w:numPr>
          <w:ilvl w:val="0"/>
          <w:numId w:val="1002"/>
        </w:numPr>
        <w:pStyle w:val="Compact"/>
      </w:pPr>
      <w:r>
        <w:rPr>
          <w:bCs/>
          <w:b/>
        </w:rPr>
        <w:t xml:space="preserve">Workforce Shortage</w:t>
      </w:r>
      <w:r>
        <w:t xml:space="preserve">: Miami's construction sector faces a 17% Civil Engineer deficit per the Florida Engineering Society. Our solution: Launched the "Miami Future Engineers" apprenticeship program with Miami Dade College, resulting in 14 new hires this quarter and reducing project onboarding time by 29%.</w:t>
      </w:r>
    </w:p>
    <w:p>
      <w:pPr>
        <w:numPr>
          <w:ilvl w:val="0"/>
          <w:numId w:val="1002"/>
        </w:numPr>
        <w:pStyle w:val="Compact"/>
      </w:pPr>
      <w:r>
        <w:rPr>
          <w:bCs/>
          <w:b/>
        </w:rPr>
        <w:t xml:space="preserve">Material Cost Volatility</w:t>
      </w:r>
      <w:r>
        <w:t xml:space="preserve">: Rising concrete and steel costs impacted margins. Our Civil Engineer team mitigated this through value-engineering: redesigning bridge approaches for recycled aggregate use, saving clients $850K across three projects without quality compromise.</w:t>
      </w:r>
    </w:p>
    <w:bookmarkEnd w:id="24"/>
    <w:bookmarkStart w:id="25" w:name="X125342f6cd77cafb55a1181d0355aa863a65bdb"/>
    <w:p>
      <w:pPr>
        <w:pStyle w:val="Heading3"/>
      </w:pPr>
      <w:r>
        <w:t xml:space="preserve">Competitive Positioning in United States Miami</w:t>
      </w:r>
    </w:p>
    <w:p>
      <w:pPr>
        <w:pStyle w:val="FirstParagraph"/>
      </w:pPr>
      <w:r>
        <w:t xml:space="preserve">Analysis of the</w:t>
      </w:r>
      <w:r>
        <w:t xml:space="preserve"> </w:t>
      </w:r>
      <w:r>
        <w:rPr>
          <w:bCs/>
          <w:b/>
        </w:rPr>
        <w:t xml:space="preserve">United States Miami</w:t>
      </w:r>
      <w:r>
        <w:t xml:space="preserve"> </w:t>
      </w:r>
      <w:r>
        <w:t xml:space="preserve">civil engineering market reveals our firm holds a 28% market share for projects over $1M—surpassing regional competitors. This dominance stems from our Civil Engineer's dual expertise in technical design and stakeholder management. Unlike national firms that deploy generic solutions, we leverage local knowledge: understanding neighborhood-specific concerns (e.g., Little Havana's cultural preservation requirements), navigating the unique Miami-Dade County Code revisions, and building relationships with key decision-makers at the Greater Miami Chamber of Commerce.</w:t>
      </w:r>
    </w:p>
    <w:bookmarkEnd w:id="25"/>
    <w:bookmarkStart w:id="26" w:name="q4-strategic-initiatives"/>
    <w:p>
      <w:pPr>
        <w:pStyle w:val="Heading3"/>
      </w:pPr>
      <w:r>
        <w:t xml:space="preserve">Q4 Strategic Initiatives</w:t>
      </w:r>
    </w:p>
    <w:p>
      <w:pPr>
        <w:pStyle w:val="FirstParagraph"/>
      </w:pPr>
      <w:r>
        <w:t xml:space="preserve">Based on this Sales Report's findings, we're implementing three high-impact initiatives to sustain momentum:</w:t>
      </w:r>
    </w:p>
    <w:p>
      <w:pPr>
        <w:numPr>
          <w:ilvl w:val="0"/>
          <w:numId w:val="1003"/>
        </w:numPr>
        <w:pStyle w:val="Compact"/>
      </w:pPr>
      <w:r>
        <w:rPr>
          <w:bCs/>
          <w:b/>
        </w:rPr>
        <w:t xml:space="preserve">Specialized Civil Engineer Certification Program</w:t>
      </w:r>
      <w:r>
        <w:t xml:space="preserve">: Partnering with Florida International University to develop Miami-specific certifications in coastal engineering and smart infrastructure—targeting $1.2M in new service revenue by Q2 2025.</w:t>
      </w:r>
    </w:p>
    <w:p>
      <w:pPr>
        <w:numPr>
          <w:ilvl w:val="0"/>
          <w:numId w:val="1003"/>
        </w:numPr>
        <w:pStyle w:val="Compact"/>
      </w:pPr>
      <w:r>
        <w:rPr>
          <w:bCs/>
          <w:b/>
        </w:rPr>
        <w:t xml:space="preserve">Technology Integration Fund</w:t>
      </w:r>
      <w:r>
        <w:t xml:space="preserve">: Allocating $450K for Civil Engineer teams to implement AI-driven design tools (e.g., generative design for stormwater systems), projected to increase project capacity by 33% while maintaining quality standards.</w:t>
      </w:r>
    </w:p>
    <w:p>
      <w:pPr>
        <w:numPr>
          <w:ilvl w:val="0"/>
          <w:numId w:val="1003"/>
        </w:numPr>
        <w:pStyle w:val="Compact"/>
      </w:pPr>
      <w:r>
        <w:rPr>
          <w:bCs/>
          <w:b/>
        </w:rPr>
        <w:t xml:space="preserve">Miami Community Engagement Council</w:t>
      </w:r>
      <w:r>
        <w:t xml:space="preserve">: Formalizing partnerships with neighborhood associations and environmental groups through our Civil Engineer staff, creating early-stage project alignment opportunities that reduce permitting friction.</w:t>
      </w:r>
    </w:p>
    <w:bookmarkEnd w:id="26"/>
    <w:bookmarkStart w:id="27" w:name="X4a8f89007010992ad48ad7685b9fcc2980ee5ca"/>
    <w:p>
      <w:pPr>
        <w:pStyle w:val="Heading3"/>
      </w:pPr>
      <w:r>
        <w:t xml:space="preserve">Conclusion: The Engine of Miami's Infrastructure Renaissance</w:t>
      </w:r>
    </w:p>
    <w:p>
      <w:pPr>
        <w:pStyle w:val="FirstParagraph"/>
      </w:pPr>
      <w:r>
        <w:t xml:space="preserve">This Sales Report affirms that in the</w:t>
      </w:r>
      <w:r>
        <w:t xml:space="preserve"> </w:t>
      </w:r>
      <w:r>
        <w:rPr>
          <w:bCs/>
          <w:b/>
        </w:rPr>
        <w:t xml:space="preserve">United States Miami</w:t>
      </w:r>
      <w:r>
        <w:t xml:space="preserve"> </w:t>
      </w:r>
      <w:r>
        <w:t xml:space="preserve">market, the Civil Engineer is not merely a technical role but the strategic catalyst for revenue growth. As regional investments accelerate—particularly under Florida's new $10 billion Coastal Resilience Bond Program—the demand for our Civil Engineer expertise will intensify. With 17 major projects in pipeline (totaling $42M), we project Q4 2024 revenue to reach $23 million, establishing a new annual record.</w:t>
      </w:r>
    </w:p>
    <w:p>
      <w:pPr>
        <w:pStyle w:val="BodyText"/>
      </w:pPr>
      <w:r>
        <w:t xml:space="preserve">The future of civil engineering sales in Miami belongs to firms that recognize the Civil Engineer as the nexus between technical execution and business development. Our team's ability to translate infrastructure challenges into compliant, sustainable solutions—while navigating Miami's unique regulatory and environmental landscape—has created an unassailable competitive advantage. As we continue investing in specialized Civil Engineer talent development, we are not just reporting sales growth; we are engineering Miami's next era of resilient, thriving urban development.</w:t>
      </w:r>
    </w:p>
    <w:p>
      <w:pPr>
        <w:pStyle w:val="BodyText"/>
      </w:pPr>
      <w:r>
        <w:t xml:space="preserve">"In the race to build Miami's future, every solution begins with a Civil Engineer who understands that infrastructure isn't just concrete—it's the foundation of community." — Marcus Chen, Director of Engineering Sales</w:t>
      </w:r>
    </w:p>
    <w:p>
      <w:pPr>
        <w:pStyle w:val="BodyText"/>
      </w:pPr>
      <w:r>
        <w:t xml:space="preserve">This report complies with all SEC requirements for public engineering firms. All data verified through Miami-Dade County Public Works and Bureau of Economic Research.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Report - United States Miami Market</dc:title>
  <dc:creator/>
  <dc:language>en</dc:language>
  <cp:keywords/>
  <dcterms:created xsi:type="dcterms:W3CDTF">2026-07-21T11:46:59Z</dcterms:created>
  <dcterms:modified xsi:type="dcterms:W3CDTF">2026-07-21T11:46:59Z</dcterms:modified>
</cp:coreProperties>
</file>

<file path=docProps/custom.xml><?xml version="1.0" encoding="utf-8"?>
<Properties xmlns="http://schemas.openxmlformats.org/officeDocument/2006/custom-properties" xmlns:vt="http://schemas.openxmlformats.org/officeDocument/2006/docPropsVTypes"/>
</file>