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27" w:name="X0f174ed274e130fe7e138b23beae62aa843ce08"/>
    <w:p>
      <w:pPr>
        <w:pStyle w:val="Heading1"/>
      </w:pPr>
      <w:r>
        <w:t xml:space="preserve">Comprehensive Sales Report: Civil Engineering Services in United States New York City Market</w:t>
      </w:r>
    </w:p>
    <w:bookmarkStart w:id="20" w:name="executive-summary"/>
    <w:p>
      <w:pPr>
        <w:pStyle w:val="Heading2"/>
      </w:pPr>
      <w:r>
        <w:t xml:space="preserve">Executive Summary</w:t>
      </w:r>
    </w:p>
    <w:p>
      <w:pPr>
        <w:pStyle w:val="FirstParagraph"/>
      </w:pPr>
      <w:r>
        <w:t xml:space="preserve">This official Sales Report details the performance and strategic outlook for Civil Engineering services within the United States New York City market during Q3 2023. As the most densely populated metropolitan area in the nation, New York City represents a critical frontier for civil engineering innovation and infrastructure development. Our firm has achieved unprecedented growth in this high-stakes environment, securing $14.8 million in new contracts—surpassing Q2 results by 27% and marking our strongest performance since entering the NYC market five years ago. This report confirms that strategic investment in a qualified Civil Engineer is not merely advantageous but essential for sustainable growth across all major infrastructure sectors within United States New York City.</w:t>
      </w:r>
    </w:p>
    <w:bookmarkEnd w:id="20"/>
    <w:bookmarkStart w:id="21" w:name="X8fa7cfed481cfc6daa7744e0466722b066e5af5"/>
    <w:p>
      <w:pPr>
        <w:pStyle w:val="Heading2"/>
      </w:pPr>
      <w:r>
        <w:t xml:space="preserve">Market Context: Why New York City Demands Civil Engineering Excellence</w:t>
      </w:r>
    </w:p>
    <w:p>
      <w:pPr>
        <w:pStyle w:val="FirstParagraph"/>
      </w:pPr>
      <w:r>
        <w:t xml:space="preserve">New York City's unique challenges—aging infrastructure, extreme weather vulnerability, and relentless urban density—create a market where Civil Engineers must operate at the pinnacle of technical expertise. With 60% of NYC's water systems over 50 years old and subway tunnels requiring constant reinforcement against groundwater pressure, the demand for specialized civil engineering services has reached crisis levels. The</w:t>
      </w:r>
      <w:r>
        <w:t xml:space="preserve"> </w:t>
      </w:r>
      <w:r>
        <w:rPr>
          <w:iCs/>
          <w:i/>
        </w:rPr>
        <w:t xml:space="preserve">United States Department of Transportation</w:t>
      </w:r>
      <w:r>
        <w:t xml:space="preserve"> </w:t>
      </w:r>
      <w:r>
        <w:t xml:space="preserve">recently allocated $12 billion to NYC transit modernization, while the</w:t>
      </w:r>
      <w:r>
        <w:t xml:space="preserve"> </w:t>
      </w:r>
      <w:r>
        <w:rPr>
          <w:iCs/>
          <w:i/>
        </w:rPr>
        <w:t xml:space="preserve">City Council's Climate Resiliency Plan</w:t>
      </w:r>
      <w:r>
        <w:t xml:space="preserve"> </w:t>
      </w:r>
      <w:r>
        <w:t xml:space="preserve">mandates all new infrastructure to withstand 500-year flood events. In this environment, a certified Civil Engineer isn't just an asset—they're the operational backbone of successful projects.</w:t>
      </w:r>
    </w:p>
    <w:bookmarkEnd w:id="21"/>
    <w:bookmarkStart w:id="22" w:name="X4ec5a5d63d1280618997ea3fb2d65079af576ca"/>
    <w:p>
      <w:pPr>
        <w:pStyle w:val="Heading2"/>
      </w:pPr>
      <w:r>
        <w:t xml:space="preserve">Sales Performance Breakdown: Q3 2023 Achievement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(USD)</w:t>
            </w:r>
          </w:p>
        </w:tc>
        <w:tc>
          <w:tcPr/>
          <w:p>
            <w:pPr>
              <w:pStyle w:val="Compact"/>
              <w:jc w:val="left"/>
            </w:pPr>
            <w:r>
              <w:t xml:space="preserve">YoY Growth</w:t>
            </w:r>
          </w:p>
        </w:tc>
        <w:tc>
          <w:tcPr/>
          <w:p>
            <w:pPr>
              <w:pStyle w:val="Compact"/>
              <w:jc w:val="left"/>
            </w:pPr>
            <w:r>
              <w:t xml:space="preserve">Key Clients Secured</w:t>
            </w:r>
          </w:p>
        </w:tc>
      </w:tr>
      <w:tr>
        <w:tc>
          <w:tcPr/>
          <w:p>
            <w:pPr>
              <w:pStyle w:val="Compact"/>
              <w:jc w:val="left"/>
            </w:pPr>
            <w:r>
              <w:t xml:space="preserve">Critical Infrastructure Renewal</w:t>
            </w:r>
          </w:p>
        </w:tc>
        <w:tc>
          <w:tcPr/>
          <w:p>
            <w:pPr>
              <w:pStyle w:val="Compact"/>
              <w:jc w:val="left"/>
            </w:pPr>
            <w:r>
              <w:t xml:space="preserve">$6,200,000</w:t>
            </w:r>
          </w:p>
        </w:tc>
        <w:tc>
          <w:tcPr/>
          <w:p>
            <w:pPr>
              <w:pStyle w:val="Compact"/>
              <w:jc w:val="left"/>
            </w:pPr>
            <w:r>
              <w:t xml:space="preserve">+38%</w:t>
            </w:r>
          </w:p>
        </w:tc>
        <w:tc>
          <w:tcPr/>
          <w:p>
            <w:pPr>
              <w:pStyle w:val="Compact"/>
              <w:jc w:val="left"/>
            </w:pPr>
            <w:r>
              <w:t xml:space="preserve">Metropolitan Transportation Authority (MTA), NYC Department of Environmental Protection</w:t>
            </w:r>
          </w:p>
        </w:tc>
      </w:tr>
      <w:tr>
        <w:tc>
          <w:tcPr/>
          <w:p>
            <w:pPr>
              <w:pStyle w:val="Compact"/>
              <w:jc w:val="left"/>
            </w:pPr>
            <w:r>
              <w:t xml:space="preserve">Climate-Resilient Design</w:t>
            </w:r>
          </w:p>
        </w:tc>
        <w:tc>
          <w:tcPr/>
          <w:p>
            <w:pPr>
              <w:pStyle w:val="Compact"/>
              <w:jc w:val="left"/>
            </w:pPr>
            <w:r>
              <w:t xml:space="preserve">$4,150,000</w:t>
            </w:r>
          </w:p>
        </w:tc>
        <w:tc>
          <w:tcPr/>
          <w:p>
            <w:pPr>
              <w:pStyle w:val="Compact"/>
              <w:jc w:val="left"/>
            </w:pPr>
            <w:r>
              <w:t xml:space="preserve">+29%</w:t>
            </w:r>
          </w:p>
        </w:tc>
        <w:tc>
          <w:tcPr/>
          <w:p>
            <w:pPr>
              <w:pStyle w:val="Compact"/>
              <w:jc w:val="left"/>
            </w:pPr>
            <w:r>
              <w:t xml:space="preserve">NYC Mayor's Office of Resiliency, Hudson Yards Development Corp.</w:t>
            </w:r>
          </w:p>
        </w:tc>
      </w:tr>
      <w:tr>
        <w:tc>
          <w:tcPr/>
          <w:p>
            <w:pPr>
              <w:pStyle w:val="Compact"/>
              <w:jc w:val="left"/>
            </w:pPr>
            <w:r>
              <w:t xml:space="preserve">Smart City Integration</w:t>
            </w:r>
          </w:p>
        </w:tc>
        <w:tc>
          <w:tcPr/>
          <w:p>
            <w:pPr>
              <w:pStyle w:val="Compact"/>
              <w:jc w:val="left"/>
            </w:pPr>
            <w:r>
              <w:t xml:space="preserve">$3,480,000</w:t>
            </w:r>
          </w:p>
        </w:tc>
        <w:tc>
          <w:tcPr/>
          <w:p>
            <w:pPr>
              <w:pStyle w:val="Compact"/>
              <w:jc w:val="left"/>
            </w:pPr>
            <w:r>
              <w:t xml:space="preserve">+51%</w:t>
            </w:r>
          </w:p>
        </w:tc>
        <w:tc>
          <w:tcPr/>
          <w:p>
            <w:pPr>
              <w:pStyle w:val="Compact"/>
              <w:jc w:val="left"/>
            </w:pPr>
            <w:r>
              <w:t xml:space="preserve">NYC Economic Development Corporation (EDC), Google NYC Campus Expansion</w:t>
            </w:r>
          </w:p>
        </w:tc>
      </w:tr>
      <w:tr>
        <w:tc>
          <w:tcPr/>
          <w:p>
            <w:pPr>
              <w:pStyle w:val="Compact"/>
              <w:jc w:val="left"/>
            </w:pPr>
            <w:r>
              <w:t xml:space="preserve">Total</w:t>
            </w:r>
          </w:p>
        </w:tc>
        <w:tc>
          <w:tcPr/>
          <w:p>
            <w:pPr>
              <w:pStyle w:val="Compact"/>
              <w:jc w:val="left"/>
            </w:pPr>
            <w:r>
              <w:rPr>
                <w:bCs/>
                <w:b/>
              </w:rPr>
              <w:t xml:space="preserve">$13,830,000</w:t>
            </w:r>
          </w:p>
        </w:tc>
        <w:tc>
          <w:tcPr/>
          <w:p>
            <w:pPr>
              <w:pStyle w:val="Compact"/>
              <w:jc w:val="left"/>
            </w:pPr>
            <w:r>
              <w:rPr>
                <w:bCs/>
                <w:b/>
              </w:rPr>
              <w:t xml:space="preserve">+35% YoY</w:t>
            </w:r>
          </w:p>
        </w:tc>
        <w:tc>
          <w:tcPr/>
          <w:p>
            <w:pPr>
              <w:pStyle w:val="Compact"/>
              <w:jc w:val="left"/>
            </w:pPr>
            <w:r>
              <w:t xml:space="preserve"> </w:t>
            </w:r>
          </w:p>
        </w:tc>
      </w:tr>
    </w:tbl>
    <w:p>
      <w:pPr>
        <w:pStyle w:val="BodyText"/>
      </w:pPr>
      <w:r>
        <w:t xml:space="preserve">Notably, our 42% increase in high-value federal contracts (e.g., FEMA resilience grants) demonstrates how Civil Engineers certified in NYC-specific regulations—particularly the</w:t>
      </w:r>
      <w:r>
        <w:t xml:space="preserve"> </w:t>
      </w:r>
      <w:r>
        <w:rPr>
          <w:iCs/>
          <w:i/>
        </w:rPr>
        <w:t xml:space="preserve">New York City Building Code Section 107.8</w:t>
      </w:r>
      <w:r>
        <w:t xml:space="preserve"> </w:t>
      </w:r>
      <w:r>
        <w:t xml:space="preserve">for flood mitigation—directly drive sales conversion. The report confirms that clients prioritize firms with local Civil Engineer expertise over national competitors, with 89% of new contracts requiring on-site engineering oversight within the United States New York City jurisdiction.</w:t>
      </w:r>
    </w:p>
    <w:bookmarkEnd w:id="22"/>
    <w:bookmarkStart w:id="23" w:name="Xe921cb59e8a84ca8643dc34bc39c06d02f8a3ae"/>
    <w:p>
      <w:pPr>
        <w:pStyle w:val="Heading2"/>
      </w:pPr>
      <w:r>
        <w:t xml:space="preserve">Case Study: Hudson Yards Expansion Project</w:t>
      </w:r>
    </w:p>
    <w:p>
      <w:pPr>
        <w:pStyle w:val="FirstParagraph"/>
      </w:pPr>
      <w:r>
        <w:t xml:space="preserve">The $470 million Hudson Yards Phase IV project exemplifies our sales strategy's success. When the developer required rapid feasibility studies for subterranean infrastructure amid complex soil conditions, our NYC-based Civil Engineer team executed a 14-day site assessment—exceeding industry standards by 60%. This accelerated timeline directly secured the $8.2M contract through the following strategic actions:</w:t>
      </w:r>
    </w:p>
    <w:p>
      <w:pPr>
        <w:numPr>
          <w:ilvl w:val="0"/>
          <w:numId w:val="1001"/>
        </w:numPr>
        <w:pStyle w:val="Compact"/>
      </w:pPr>
      <w:r>
        <w:t xml:space="preserve">Deployed field engineers already certified in NYC Department of Design and Construction (DDC) protocols</w:t>
      </w:r>
    </w:p>
    <w:p>
      <w:pPr>
        <w:numPr>
          <w:ilvl w:val="0"/>
          <w:numId w:val="1001"/>
        </w:numPr>
        <w:pStyle w:val="Compact"/>
      </w:pPr>
      <w:r>
        <w:t xml:space="preserve">Integrated real-time geotechnical data from 70+ existing NYC infrastructure sensors</w:t>
      </w:r>
    </w:p>
    <w:p>
      <w:pPr>
        <w:numPr>
          <w:ilvl w:val="0"/>
          <w:numId w:val="1001"/>
        </w:numPr>
        <w:pStyle w:val="Compact"/>
      </w:pPr>
      <w:r>
        <w:t xml:space="preserve">Provided immediate compliance with the City's new</w:t>
      </w:r>
      <w:r>
        <w:t xml:space="preserve"> </w:t>
      </w:r>
      <w:r>
        <w:rPr>
          <w:iCs/>
          <w:i/>
        </w:rPr>
        <w:t xml:space="preserve">Circular 2023-04</w:t>
      </w:r>
      <w:r>
        <w:t xml:space="preserve"> </w:t>
      </w:r>
      <w:r>
        <w:t xml:space="preserve">on seismic resilience for high-rises</w:t>
      </w:r>
    </w:p>
    <w:p>
      <w:pPr>
        <w:pStyle w:val="FirstParagraph"/>
      </w:pPr>
      <w:r>
        <w:t xml:space="preserve">The project is now $1.4M under budget due to our Civil Engineer's early identification of unstable bedrock, proving that localized expertise directly translates to client cost savings and repeat business—a key differentiator in the competitive United States New York City market.</w:t>
      </w:r>
    </w:p>
    <w:bookmarkEnd w:id="23"/>
    <w:bookmarkStart w:id="24" w:name="overcoming-nyc-specific-sales-challenges"/>
    <w:p>
      <w:pPr>
        <w:pStyle w:val="Heading2"/>
      </w:pPr>
      <w:r>
        <w:t xml:space="preserve">Overcoming NYC-Specific Sales Challenges</w:t>
      </w:r>
    </w:p>
    <w:p>
      <w:pPr>
        <w:pStyle w:val="FirstParagraph"/>
      </w:pPr>
      <w:r>
        <w:t xml:space="preserve">Our sales team identified three critical barriers requiring Civil Engineer-led solutions:</w:t>
      </w:r>
    </w:p>
    <w:p>
      <w:pPr>
        <w:numPr>
          <w:ilvl w:val="0"/>
          <w:numId w:val="1002"/>
        </w:numPr>
        <w:pStyle w:val="Compact"/>
      </w:pPr>
      <w:r>
        <w:rPr>
          <w:bCs/>
          <w:b/>
        </w:rPr>
        <w:t xml:space="preserve">Regulatory Fragmentation:</w:t>
      </w:r>
      <w:r>
        <w:t xml:space="preserve"> </w:t>
      </w:r>
      <w:r>
        <w:t xml:space="preserve">With 53 distinct NYC municipal agencies governing infrastructure, our Civil Engineers maintain active licensing in all relevant boards (e.g., NY State PE License, NYC Department of Buildings). This eliminates contract delays caused by regulatory gaps—a factor that cost competitors 22% of their pipeline in Q1 2023.</w:t>
      </w:r>
    </w:p>
    <w:p>
      <w:pPr>
        <w:numPr>
          <w:ilvl w:val="0"/>
          <w:numId w:val="1002"/>
        </w:numPr>
        <w:pStyle w:val="Compact"/>
      </w:pPr>
      <w:r>
        <w:rPr>
          <w:bCs/>
          <w:b/>
        </w:rPr>
        <w:t xml:space="preserve">Community Opposition:</w:t>
      </w:r>
      <w:r>
        <w:t xml:space="preserve"> </w:t>
      </w:r>
      <w:r>
        <w:t xml:space="preserve">For the Brooklyn Bridge pedestrian retrofit project, our Civil Engineer's community engagement strategy reduced public hearing objections by 68% through transparent engineering visualizations accessible to non-technical stakeholders.</w:t>
      </w:r>
    </w:p>
    <w:p>
      <w:pPr>
        <w:numPr>
          <w:ilvl w:val="0"/>
          <w:numId w:val="1002"/>
        </w:numPr>
        <w:pStyle w:val="Compact"/>
      </w:pPr>
      <w:r>
        <w:rPr>
          <w:bCs/>
          <w:b/>
        </w:rPr>
        <w:t xml:space="preserve">Climate Uncertainty:</w:t>
      </w:r>
      <w:r>
        <w:t xml:space="preserve"> </w:t>
      </w:r>
      <w:r>
        <w:t xml:space="preserve">By incorporating NYC's proprietary Climate Risk Assessment Tool (CRAT) into all proposals, we secured 100% of our climate-resilient projects—demonstrating how Civil Engineers turn environmental risks into competitive advantages.</w:t>
      </w:r>
    </w:p>
    <w:bookmarkEnd w:id="24"/>
    <w:bookmarkStart w:id="25" w:name="strategic-outlook-2024-growth-trajectory"/>
    <w:p>
      <w:pPr>
        <w:pStyle w:val="Heading2"/>
      </w:pPr>
      <w:r>
        <w:t xml:space="preserve">Strategic Outlook: 2024 Growth Trajectory</w:t>
      </w:r>
    </w:p>
    <w:p>
      <w:pPr>
        <w:pStyle w:val="FirstParagraph"/>
      </w:pPr>
      <w:r>
        <w:t xml:space="preserve">The United States New York City infrastructure market is projected to exceed $98 billion in annual investment by 2025 (per NYC Economic Development Corporation). To capitalize on this, our sales strategy focuses on three Civil Engineer-driven growth vectors:</w:t>
      </w:r>
    </w:p>
    <w:p>
      <w:pPr>
        <w:numPr>
          <w:ilvl w:val="0"/>
          <w:numId w:val="1003"/>
        </w:numPr>
        <w:pStyle w:val="Compact"/>
      </w:pPr>
      <w:r>
        <w:rPr>
          <w:bCs/>
          <w:b/>
        </w:rPr>
        <w:t xml:space="preserve">Micro-Infrastructure Expansion:</w:t>
      </w:r>
      <w:r>
        <w:t xml:space="preserve"> </w:t>
      </w:r>
      <w:r>
        <w:t xml:space="preserve">Targeting 37 new subway ventilation shafts across all five boroughs—requiring Civil Engineers with tunneling certifications (ASCE/ASME) and NYC MTA-specific experience.</w:t>
      </w:r>
    </w:p>
    <w:p>
      <w:pPr>
        <w:numPr>
          <w:ilvl w:val="0"/>
          <w:numId w:val="1003"/>
        </w:numPr>
        <w:pStyle w:val="Compact"/>
      </w:pPr>
      <w:r>
        <w:rPr>
          <w:bCs/>
          <w:b/>
        </w:rPr>
        <w:t xml:space="preserve">Circular Economy Integration:</w:t>
      </w:r>
      <w:r>
        <w:t xml:space="preserve"> </w:t>
      </w:r>
      <w:r>
        <w:t xml:space="preserve">Pitching recycled construction materials solutions (e.g., 100% crushed concrete for road bases), directly addressing the City's mandate to divert 90% of construction waste from landfills by 2035.</w:t>
      </w:r>
    </w:p>
    <w:p>
      <w:pPr>
        <w:numPr>
          <w:ilvl w:val="0"/>
          <w:numId w:val="1003"/>
        </w:numPr>
        <w:pStyle w:val="Compact"/>
      </w:pPr>
      <w:r>
        <w:rPr>
          <w:bCs/>
          <w:b/>
        </w:rPr>
        <w:t xml:space="preserve">Equity-First Design:</w:t>
      </w:r>
      <w:r>
        <w:t xml:space="preserve"> </w:t>
      </w:r>
      <w:r>
        <w:t xml:space="preserve">Developing Civil Engineering templates compliant with NYC's new</w:t>
      </w:r>
      <w:r>
        <w:t xml:space="preserve"> </w:t>
      </w:r>
      <w:r>
        <w:rPr>
          <w:iCs/>
          <w:i/>
        </w:rPr>
        <w:t xml:space="preserve">Displacement Risk Mitigation Policy</w:t>
      </w:r>
      <w:r>
        <w:t xml:space="preserve">, ensuring infrastructure benefits underserved neighborhoods—a priority for all municipal contracts since 2023.</w:t>
      </w:r>
    </w:p>
    <w:bookmarkEnd w:id="25"/>
    <w:bookmarkStart w:id="26" w:name="Xade2f9a31e6ca5b2b220d9dd163d552f49d8653"/>
    <w:p>
      <w:pPr>
        <w:pStyle w:val="Heading2"/>
      </w:pPr>
      <w:r>
        <w:t xml:space="preserve">Conclusion: The Indispensable Role of the Civil Engineer in NYC Sales Success</w:t>
      </w:r>
    </w:p>
    <w:p>
      <w:pPr>
        <w:pStyle w:val="FirstParagraph"/>
      </w:pPr>
      <w:r>
        <w:t xml:space="preserve">This Sales Report unequivocally demonstrates that in the United States New York City market, a qualified Civil Engineer is not merely a service provider—they are the primary sales driver. Every dollar generated from our Q3 growth stems directly from engineering solutions addressing NYC-specific pain points: aging infrastructure, climate vulnerability, and regulatory complexity. As Mayor Adams' "OneNYC 2050" initiative accelerates $45 billion in public works projects, firms without local Civil Engineer expertise face obsolescence. Our data shows that clients pay a 17% premium for proposals led by NYC-certified Civil Engineers due to reduced risk and accelerated timelines.</w:t>
      </w:r>
    </w:p>
    <w:p>
      <w:pPr>
        <w:pStyle w:val="BodyText"/>
      </w:pPr>
      <w:r>
        <w:t xml:space="preserve">For investors and stakeholders, this report confirms our strategic investment in New York City-based engineering talent as the most reliable growth catalyst. We project 40% revenue growth in Q4 2023 through Civil Engineer-led contracts for the East Side Access Transit Project (estimated $185M) and the Bronx River Greenway Expansion (proposed $63M). In a city where infrastructure decisions shape global economic competitiveness, mastering the Civil Engineer sales framework isn't optional—it's the cornerstone of survival and leadership in United States New York City.</w:t>
      </w:r>
    </w:p>
    <w:p>
      <w:pPr>
        <w:pStyle w:val="BodyText"/>
      </w:pPr>
      <w:r>
        <w:rPr>
          <w:bCs/>
          <w:b/>
        </w:rPr>
        <w:t xml:space="preserve">Prepared by: Metropolitan Engineering Solutions Sales Intelligence Division</w:t>
      </w:r>
      <w:r>
        <w:br/>
      </w:r>
      <w:r>
        <w:rPr>
          <w:iCs/>
          <w:i/>
        </w:rPr>
        <w:t xml:space="preserve">New York City Office • 123 Civic Center Plaza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United States New York City Market Analysis</dc:title>
  <dc:creator/>
  <dc:language>en</dc:language>
  <cp:keywords/>
  <dcterms:created xsi:type="dcterms:W3CDTF">2026-07-24T18:50:29Z</dcterms:created>
  <dcterms:modified xsi:type="dcterms:W3CDTF">2026-07-24T18:50:29Z</dcterms:modified>
</cp:coreProperties>
</file>

<file path=docProps/custom.xml><?xml version="1.0" encoding="utf-8"?>
<Properties xmlns="http://schemas.openxmlformats.org/officeDocument/2006/custom-properties" xmlns:vt="http://schemas.openxmlformats.org/officeDocument/2006/docPropsVTypes"/>
</file>