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Tashkent,</w:t>
      </w:r>
      <w:r>
        <w:t xml:space="preserve"> </w:t>
      </w:r>
      <w:r>
        <w:t xml:space="preserve">Uzbekistan</w:t>
      </w:r>
    </w:p>
    <w:bookmarkStart w:id="27" w:name="X081afe1a100ffac6b971cb2dab365613d5113a2"/>
    <w:p>
      <w:pPr>
        <w:pStyle w:val="Heading1"/>
      </w:pPr>
      <w:r>
        <w:t xml:space="preserve">Sales Report: Civil Engineering Services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Subject:</w:t>
      </w:r>
      <w:r>
        <w:t xml:space="preserve"> </w:t>
      </w:r>
      <w:r>
        <w:t xml:space="preserve">Q3 Sales Performance Analysis for Civil Engineering Services in Tashkent, Uzbekistan</w:t>
      </w:r>
    </w:p>
    <w:bookmarkStart w:id="20" w:name="i.-executive-summary"/>
    <w:p>
      <w:pPr>
        <w:pStyle w:val="Heading2"/>
      </w:pPr>
      <w:r>
        <w:t xml:space="preserve">I. Executive Summary</w:t>
      </w:r>
    </w:p>
    <w:p>
      <w:pPr>
        <w:pStyle w:val="FirstParagraph"/>
      </w:pPr>
      <w:r>
        <w:t xml:space="preserve">This Sales Report details the performance of Civil Engineering services across Tashkent, Uzbekistan during Q3 2023. The market demonstrates robust growth driven by national infrastructure initiatives under the "New Uzbekistan" development strategy. Our firm achieved a 17% year-over-year increase in Civil Engineer service contracts, securing key projects for Tashkent's urban modernization. This success underscores the critical demand for specialized Civil Engineers in Uzbekistan's rapidly evolving construction landscape. As Tashkent expands its metro network and sustainable housing projects, the role of the Civil Engineer has become indispensable to project viability and compliance with Uzbekistan's State Building Codes.</w:t>
      </w:r>
    </w:p>
    <w:bookmarkEnd w:id="20"/>
    <w:bookmarkStart w:id="21" w:name="Xbbeab04a3ab8c3ad55cb091dc288f8dddf0b957"/>
    <w:p>
      <w:pPr>
        <w:pStyle w:val="Heading2"/>
      </w:pPr>
      <w:r>
        <w:t xml:space="preserve">II. Market Analysis: Tashkent’s Infrastructure Boom</w:t>
      </w:r>
    </w:p>
    <w:p>
      <w:pPr>
        <w:pStyle w:val="FirstParagraph"/>
      </w:pPr>
      <w:r>
        <w:t xml:space="preserve">Tashkent, as the economic heart of Uzbekistan, is experiencing unprecedented construction activity. The city's master plan prioritizes:</w:t>
      </w:r>
    </w:p>
    <w:p>
      <w:pPr>
        <w:numPr>
          <w:ilvl w:val="0"/>
          <w:numId w:val="1001"/>
        </w:numPr>
        <w:pStyle w:val="Compact"/>
      </w:pPr>
      <w:r>
        <w:t xml:space="preserve">Expansion of the Tashkent Metro (including Line 3 extension to Chilanzar District)</w:t>
      </w:r>
    </w:p>
    <w:p>
      <w:pPr>
        <w:numPr>
          <w:ilvl w:val="0"/>
          <w:numId w:val="1001"/>
        </w:numPr>
        <w:pStyle w:val="Compact"/>
      </w:pPr>
      <w:r>
        <w:t xml:space="preserve">Modernization of arterial roads like Alisher Navoiy Avenue</w:t>
      </w:r>
    </w:p>
    <w:p>
      <w:pPr>
        <w:numPr>
          <w:ilvl w:val="0"/>
          <w:numId w:val="1001"/>
        </w:numPr>
        <w:pStyle w:val="Compact"/>
      </w:pPr>
      <w:r>
        <w:t xml:space="preserve">New residential zones (e.g., "Sergeli City" housing projects)</w:t>
      </w:r>
    </w:p>
    <w:p>
      <w:pPr>
        <w:numPr>
          <w:ilvl w:val="0"/>
          <w:numId w:val="1001"/>
        </w:numPr>
        <w:pStyle w:val="Compact"/>
      </w:pPr>
      <w:r>
        <w:t xml:space="preserve">Environmental infrastructure upgrades (wastewater treatment plants, stormwater systems)</w:t>
      </w:r>
    </w:p>
    <w:p>
      <w:pPr>
        <w:pStyle w:val="FirstParagraph"/>
      </w:pPr>
      <w:r>
        <w:t xml:space="preserve">Uzbekistan's government has allocated $1.2B for Tashkent-based civil infrastructure in 2023 alone, creating a sustained pipeline for Civil Engineer services. Local firms now require specialized expertise to navigate Uzbekistan's evolving technical regulations and international funding requirements (e.g., World Bank-supported projects). The demand for certified Civil Engineers with knowledge of both global standards and Uzbekistan’s local practices has surged by 42% compared to 2021.</w:t>
      </w:r>
    </w:p>
    <w:bookmarkEnd w:id="21"/>
    <w:bookmarkStart w:id="22" w:name="Xdedc536c22824b7ddb3228a81e2eeda4d67ea24"/>
    <w:p>
      <w:pPr>
        <w:pStyle w:val="Heading2"/>
      </w:pPr>
      <w:r>
        <w:t xml:space="preserve">III. Sales Performance: Key Metrics (Q3 2023)</w:t>
      </w:r>
    </w:p>
    <w:p>
      <w:pPr>
        <w:pStyle w:val="FirstParagraph"/>
      </w:pPr>
      <w:r>
        <w:t xml:space="preserve">Service Type</w:t>
      </w:r>
    </w:p>
    <w:p>
      <w:pPr>
        <w:pStyle w:val="BodyText"/>
      </w:pPr>
      <w:r>
        <w:t xml:space="preserve">Contracts Signed</w:t>
      </w:r>
    </w:p>
    <w:p>
      <w:pPr>
        <w:pStyle w:val="BodyText"/>
      </w:pPr>
      <w:r>
        <w:t xml:space="preserve">Total Value (USD)</w:t>
      </w:r>
    </w:p>
    <w:p>
      <w:pPr>
        <w:pStyle w:val="BodyText"/>
      </w:pPr>
      <w:r>
        <w:t xml:space="preserve">YoY Growth</w:t>
      </w:r>
    </w:p>
    <w:p>
      <w:pPr>
        <w:pStyle w:val="BodyText"/>
      </w:pPr>
      <w:r>
        <w:t xml:space="preserve">Metro &amp; Transit Systems Design</w:t>
      </w:r>
    </w:p>
    <w:p>
      <w:pPr>
        <w:pStyle w:val="BodyText"/>
      </w:pPr>
      <w:r>
        <w:t xml:space="preserve">8</w:t>
      </w:r>
    </w:p>
    <w:p>
      <w:pPr>
        <w:pStyle w:val="BodyText"/>
      </w:pPr>
      <w:r>
        <w:t xml:space="preserve">$1.82M</w:t>
      </w:r>
    </w:p>
    <w:p>
      <w:pPr>
        <w:pStyle w:val="BodyText"/>
      </w:pPr>
      <w:r>
        <w:t xml:space="preserve">35%</w:t>
      </w:r>
    </w:p>
    <w:p>
      <w:pPr>
        <w:pStyle w:val="BodyText"/>
      </w:pPr>
      <w:r>
        <w:t xml:space="preserve">Urban Road &amp; Bridge Engineering</w:t>
      </w:r>
    </w:p>
    <w:p>
      <w:pPr>
        <w:pStyle w:val="BodyText"/>
      </w:pPr>
      <w:r>
        <w:t xml:space="preserve">14</w:t>
      </w:r>
    </w:p>
    <w:p>
      <w:pPr>
        <w:pStyle w:val="BodyText"/>
      </w:pPr>
      <w:r>
        <w:t xml:space="preserve">TOTAL</w:t>
      </w:r>
    </w:p>
    <w:p>
      <w:pPr>
        <w:pStyle w:val="BodyText"/>
      </w:pPr>
      <w:r>
        <w:t xml:space="preserve">35 Contracts</w:t>
      </w:r>
    </w:p>
    <w:p>
      <w:pPr>
        <w:pStyle w:val="BodyText"/>
      </w:pPr>
      <w:r>
        <w:t xml:space="preserve">$6.98M</w:t>
      </w:r>
    </w:p>
    <w:p>
      <w:pPr>
        <w:pStyle w:val="BodyText"/>
      </w:pPr>
      <w:r>
        <w:t xml:space="preserve">17% (vs. Q3 2022)</w:t>
      </w:r>
    </w:p>
    <w:p>
      <w:pPr>
        <w:pStyle w:val="BodyText"/>
      </w:pPr>
      <w:r>
        <w:rPr>
          <w:bCs/>
          <w:b/>
        </w:rPr>
        <w:t xml:space="preserve">Key Achievement:</w:t>
      </w:r>
      <w:r>
        <w:t xml:space="preserve"> </w:t>
      </w:r>
      <w:r>
        <w:t xml:space="preserve">Secured the $4.5M contract for the Tashkent North Ring Road Phase 2 – a flagship project requiring Civil Engineers certified in both international geotechnical standards and Uzbekistan’s State Building Code (GOST) compliance. This single deal represents 64% of Q3 revenue.</w:t>
      </w:r>
    </w:p>
    <w:bookmarkEnd w:id="22"/>
    <w:bookmarkStart w:id="23" w:name="Xbea8d041f88260090d5ef960b1cbff1b963b180"/>
    <w:p>
      <w:pPr>
        <w:pStyle w:val="Heading2"/>
      </w:pPr>
      <w:r>
        <w:t xml:space="preserve">IV. Why Civil Engineers Are the Catalyst for Success in Uzbekistan</w:t>
      </w:r>
    </w:p>
    <w:p>
      <w:pPr>
        <w:pStyle w:val="FirstParagraph"/>
      </w:pPr>
      <w:r>
        <w:t xml:space="preserve">Our sales data reveals a direct correlation between client acquisition and the strategic positioning of our Civil Engineering expertise:</w:t>
      </w:r>
    </w:p>
    <w:p>
      <w:pPr>
        <w:numPr>
          <w:ilvl w:val="0"/>
          <w:numId w:val="1002"/>
        </w:numPr>
        <w:pStyle w:val="Compact"/>
      </w:pPr>
      <w:r>
        <w:rPr>
          <w:bCs/>
          <w:b/>
        </w:rPr>
        <w:t xml:space="preserve">Regulatory Navigation:</w:t>
      </w:r>
      <w:r>
        <w:t xml:space="preserve"> </w:t>
      </w:r>
      <w:r>
        <w:t xml:space="preserve">Clients consistently cite difficulty complying with Uzbekistan's complex construction regulations. Our Civil Engineers' in-depth knowledge of local permitting processes (e.g., Ministry of Construction approvals) shortened project timelines by 22%, making us the preferred partner for state-affiliated developers like Tashkent City Administration.</w:t>
      </w:r>
    </w:p>
    <w:p>
      <w:pPr>
        <w:numPr>
          <w:ilvl w:val="0"/>
          <w:numId w:val="1002"/>
        </w:numPr>
        <w:pStyle w:val="Compact"/>
      </w:pPr>
      <w:r>
        <w:rPr>
          <w:bCs/>
          <w:b/>
        </w:rPr>
        <w:t xml:space="preserve">Project Risk Mitigation:</w:t>
      </w:r>
      <w:r>
        <w:t xml:space="preserve"> </w:t>
      </w:r>
      <w:r>
        <w:t xml:space="preserve">In Tashkent's seismic zones, Civil Engineers’ geological assessments prevented $1.7M in potential redesign costs for the "Bektemir Housing Complex" – a factor directly cited in the client's retention decision.</w:t>
      </w:r>
    </w:p>
    <w:p>
      <w:pPr>
        <w:numPr>
          <w:ilvl w:val="0"/>
          <w:numId w:val="1002"/>
        </w:numPr>
        <w:pStyle w:val="Compact"/>
      </w:pPr>
      <w:r>
        <w:rPr>
          <w:bCs/>
          <w:b/>
        </w:rPr>
        <w:t xml:space="preserve">Cultural &amp; Technical Alignment:</w:t>
      </w:r>
      <w:r>
        <w:t xml:space="preserve"> </w:t>
      </w:r>
      <w:r>
        <w:t xml:space="preserve">Local partners value Civil Engineers who understand Uzbekistan’s construction culture (e.g., community engagement norms, material sourcing protocols). Our bilingual team (English/Uzbek) secured 12 contracts through this trust-building approach.</w:t>
      </w:r>
    </w:p>
    <w:bookmarkEnd w:id="23"/>
    <w:bookmarkStart w:id="24" w:name="v.-challenges-in-the-tashkent-market"/>
    <w:p>
      <w:pPr>
        <w:pStyle w:val="Heading2"/>
      </w:pPr>
      <w:r>
        <w:t xml:space="preserve">V. Challenges in the Tashkent Market</w:t>
      </w:r>
    </w:p>
    <w:p>
      <w:pPr>
        <w:pStyle w:val="FirstParagraph"/>
      </w:pPr>
      <w:r>
        <w:t xml:space="preserve">Despite strong growth, we face hurdles unique to Uzbekistan Tashkent:</w:t>
      </w:r>
    </w:p>
    <w:p>
      <w:pPr>
        <w:numPr>
          <w:ilvl w:val="0"/>
          <w:numId w:val="1003"/>
        </w:numPr>
        <w:pStyle w:val="Compact"/>
      </w:pPr>
      <w:r>
        <w:rPr>
          <w:bCs/>
          <w:b/>
        </w:rPr>
        <w:t xml:space="preserve">Talent Scarcity:</w:t>
      </w:r>
      <w:r>
        <w:t xml:space="preserve"> </w:t>
      </w:r>
      <w:r>
        <w:t xml:space="preserve">68% of surveyed clients reported a shortage of mid-senior Civil Engineers with experience in large-scale urban infrastructure. This limits our ability to scale rapidly for Tashkent's expanding project pipeline.</w:t>
      </w:r>
    </w:p>
    <w:p>
      <w:pPr>
        <w:numPr>
          <w:ilvl w:val="0"/>
          <w:numId w:val="1003"/>
        </w:numPr>
        <w:pStyle w:val="Compact"/>
      </w:pPr>
      <w:r>
        <w:rPr>
          <w:bCs/>
          <w:b/>
        </w:rPr>
        <w:t xml:space="preserve">Procurement Complexity:</w:t>
      </w:r>
      <w:r>
        <w:t xml:space="preserve"> </w:t>
      </w:r>
      <w:r>
        <w:t xml:space="preserve">Uzbekistan's state procurement rules require multi-stage approvals. Our sales cycle is 40% longer than regional averages, directly impacting Q3 contract velocity.</w:t>
      </w:r>
    </w:p>
    <w:p>
      <w:pPr>
        <w:numPr>
          <w:ilvl w:val="0"/>
          <w:numId w:val="1003"/>
        </w:numPr>
        <w:pStyle w:val="Compact"/>
      </w:pPr>
      <w:r>
        <w:rPr>
          <w:bCs/>
          <w:b/>
        </w:rPr>
        <w:t xml:space="preserve">Material Logistics:</w:t>
      </w:r>
      <w:r>
        <w:t xml:space="preserve"> </w:t>
      </w:r>
      <w:r>
        <w:t xml:space="preserve">Delays in importing specialized construction materials (e.g., seismic-resistant rebar) due to customs clearance issues affected 23% of project timelines – a challenge requiring proactive Civil Engineer coordination.</w:t>
      </w:r>
    </w:p>
    <w:bookmarkEnd w:id="24"/>
    <w:bookmarkStart w:id="25" w:name="Xe31a6aeec5dad22ccf73d8149e7a12794e844c2"/>
    <w:p>
      <w:pPr>
        <w:pStyle w:val="Heading2"/>
      </w:pPr>
      <w:r>
        <w:t xml:space="preserve">VI. Strategic Recommendations for Q4 2023</w:t>
      </w:r>
    </w:p>
    <w:p>
      <w:pPr>
        <w:pStyle w:val="FirstParagraph"/>
      </w:pPr>
      <w:r>
        <w:t xml:space="preserve">To capitalize on Uzbekistan Tashkent’s market momentum, we propose:</w:t>
      </w:r>
    </w:p>
    <w:p>
      <w:pPr>
        <w:numPr>
          <w:ilvl w:val="0"/>
          <w:numId w:val="1004"/>
        </w:numPr>
        <w:pStyle w:val="Compact"/>
      </w:pPr>
      <w:r>
        <w:rPr>
          <w:bCs/>
          <w:b/>
        </w:rPr>
        <w:t xml:space="preserve">Local Talent Development Partnership:</w:t>
      </w:r>
      <w:r>
        <w:t xml:space="preserve"> </w:t>
      </w:r>
      <w:r>
        <w:t xml:space="preserve">Collaborate with Tashkent State Transport University to establish a Civil Engineer apprenticeship program focused on Uzbekistan-specific standards. This addresses the talent gap while building long-term brand loyalty in Tashkent.</w:t>
      </w:r>
    </w:p>
    <w:p>
      <w:pPr>
        <w:numPr>
          <w:ilvl w:val="0"/>
          <w:numId w:val="1004"/>
        </w:numPr>
        <w:pStyle w:val="Compact"/>
      </w:pPr>
      <w:r>
        <w:rPr>
          <w:bCs/>
          <w:b/>
        </w:rPr>
        <w:t xml:space="preserve">Dedicated Regulatory Specialist Role:</w:t>
      </w:r>
      <w:r>
        <w:t xml:space="preserve"> </w:t>
      </w:r>
      <w:r>
        <w:t xml:space="preserve">Hire a Senior Civil Engineer fluent in Uzbek law and government procurement processes. This will reduce sales cycle time by 25% and position us as the most compliant service provider for state projects.</w:t>
      </w:r>
    </w:p>
    <w:p>
      <w:pPr>
        <w:numPr>
          <w:ilvl w:val="0"/>
          <w:numId w:val="1004"/>
        </w:numPr>
        <w:pStyle w:val="Compact"/>
      </w:pPr>
      <w:r>
        <w:rPr>
          <w:bCs/>
          <w:b/>
        </w:rPr>
        <w:t xml:space="preserve">Technology Integration:</w:t>
      </w:r>
      <w:r>
        <w:t xml:space="preserve"> </w:t>
      </w:r>
      <w:r>
        <w:t xml:space="preserve">Implement AI-driven geotechnical analysis tools to accelerate site assessments for Tashkent's complex soil conditions – a key differentiator in competitive bids.</w:t>
      </w:r>
    </w:p>
    <w:bookmarkEnd w:id="25"/>
    <w:bookmarkStart w:id="26" w:name="vii.-conclusion"/>
    <w:p>
      <w:pPr>
        <w:pStyle w:val="Heading2"/>
      </w:pPr>
      <w:r>
        <w:t xml:space="preserve">VII. Conclusion</w:t>
      </w:r>
    </w:p>
    <w:p>
      <w:pPr>
        <w:pStyle w:val="FirstParagraph"/>
      </w:pPr>
      <w:r>
        <w:t xml:space="preserve">The Sales Report confirms that Civil Engineers are not merely service providers but strategic assets driving our growth in Uzbekistan Tashkent. As the city advances toward its 2030 urban development goals, demand for qualified Civil Engineers will intensify. Our Q3 performance – securing $6.98M in contracts through specialized engineering expertise – proves that deep market understanding combined with technical excellence is the winning formula for success in Uzbekistan's construction sector.</w:t>
      </w:r>
    </w:p>
    <w:p>
      <w:pPr>
        <w:pStyle w:val="BodyText"/>
      </w:pPr>
      <w:r>
        <w:t xml:space="preserve">Uzbekistan Tashkent’s infrastructure revolution requires partners who understand both global engineering best practices and the nuances of local execution. Our Civil Engineers are delivering exactly that, making them the cornerstone of our sales strategy. We project Q4 growth to exceed 25% as we implement these targeted recommendations, further cementing our leadership position in Uzbekistan's evolving civil engineering market.</w:t>
      </w:r>
    </w:p>
    <w:p>
      <w:pPr>
        <w:pStyle w:val="BodyText"/>
      </w:pPr>
      <w:r>
        <w:rPr>
          <w:bCs/>
          <w:b/>
        </w:rPr>
        <w:t xml:space="preserve">Prepared By:</w:t>
      </w:r>
      <w:r>
        <w:t xml:space="preserve"> </w:t>
      </w:r>
      <w:r>
        <w:t xml:space="preserve">[Your Name/Department]</w:t>
      </w:r>
      <w:r>
        <w:br/>
      </w:r>
      <w:r>
        <w:rPr>
          <w:bCs/>
          <w:b/>
        </w:rPr>
        <w:t xml:space="preserve">Company:</w:t>
      </w:r>
      <w:r>
        <w:t xml:space="preserve"> </w:t>
      </w:r>
      <w:r>
        <w:t xml:space="preserve">[Your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Performance Report: Tashkent, Uzbekistan</dc:title>
  <dc:creator/>
  <dc:language>en</dc:language>
  <cp:keywords/>
  <dcterms:created xsi:type="dcterms:W3CDTF">2026-07-24T03:32:25Z</dcterms:created>
  <dcterms:modified xsi:type="dcterms:W3CDTF">2026-07-24T03:32:25Z</dcterms:modified>
</cp:coreProperties>
</file>

<file path=docProps/custom.xml><?xml version="1.0" encoding="utf-8"?>
<Properties xmlns="http://schemas.openxmlformats.org/officeDocument/2006/custom-properties" xmlns:vt="http://schemas.openxmlformats.org/officeDocument/2006/docPropsVTypes"/>
</file>