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27" w:name="Xd24e1227db3195dd3407b9609a552115904f150"/>
    <w:p>
      <w:pPr>
        <w:pStyle w:val="Heading1"/>
      </w:pPr>
      <w:r>
        <w:t xml:space="preserve">Q3 2023 Sales Performance Report: Computer Engineering Excellence in France Paris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&amp; Strategic Partners |</w:t>
      </w:r>
      <w:r>
        <w:t xml:space="preserve"> </w:t>
      </w:r>
      <w:r>
        <w:rPr>
          <w:bCs/>
          <w:b/>
        </w:rPr>
        <w:t xml:space="preserve">From:</w:t>
      </w:r>
      <w:r>
        <w:t xml:space="preserve"> </w:t>
      </w:r>
      <w:r>
        <w:t xml:space="preserve">Global Sales Intelligence Division</w:t>
      </w:r>
      <w:r>
        <w:br/>
      </w:r>
    </w:p>
    <w:p>
      <w:pPr>
        <w:pStyle w:val="BodyText"/>
      </w:pPr>
      <w:r>
        <w:t xml:space="preserve">Subject: Comprehensive Analysis of Computer Engineering Solutions Sales in France Paris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Q3 2023 Sales Report details the exceptional performance of our Computer Engineering solutions across France, with Paris as the strategic epicenter driving 68% of national revenue. The Paris market demonstrated remarkable resilience amid European economic fluctuations, with computer engineering services achieving a 41% YoY growth. This report underscores how our specialized Computer Engineer teams have transformed technical sales cycles into competitive advantages for enterprise clients in the Île-de-France region.</w:t>
      </w:r>
    </w:p>
    <w:bookmarkEnd w:id="20"/>
    <w:bookmarkStart w:id="21" w:name="ii.-sales-performance-highlights"/>
    <w:p>
      <w:pPr>
        <w:pStyle w:val="Heading2"/>
      </w:pPr>
      <w:r>
        <w:t xml:space="preserve">II. Sales Performance Highlights</w:t>
      </w:r>
    </w:p>
    <w:p>
      <w:pPr>
        <w:pStyle w:val="FirstParagraph"/>
      </w:pPr>
      <w:r>
        <w:t xml:space="preserve">Paris-based operations generated €8.7M in revenue during Q3, exceeding projections by 19%.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Contracts:</w:t>
      </w:r>
      <w:r>
        <w:t xml:space="preserve"> </w:t>
      </w:r>
      <w:r>
        <w:t xml:space="preserve">14 major deals secured with Paris-headquartered Fortune 500 firms (including LVMH and BNP Paribas), representing €6.2M in recurring engineering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Solution Adoption:</w:t>
      </w:r>
      <w:r>
        <w:t xml:space="preserve"> </w:t>
      </w:r>
      <w:r>
        <w:t xml:space="preserve">Cloud infrastructure migration projects increased by 227% versus Q2, driven by Computer Engineer-led technical demonstrations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94% renewal rate among Parisian enterprise clients (vs. industry average of 81%), directly attributable to our on-site Computer Engineer support teams</w:t>
      </w:r>
    </w:p>
    <w:bookmarkEnd w:id="21"/>
    <w:bookmarkStart w:id="22" w:name="X49337957324bb3bc49b4fdd15fe99bf1171fb73"/>
    <w:p>
      <w:pPr>
        <w:pStyle w:val="Heading2"/>
      </w:pPr>
      <w:r>
        <w:t xml:space="preserve">III. France Paris Market Analysis: The Engine of Digital Transformation</w:t>
      </w:r>
    </w:p>
    <w:p>
      <w:pPr>
        <w:pStyle w:val="FirstParagraph"/>
      </w:pPr>
      <w:r>
        <w:t xml:space="preserve">Paris remains Europe's most dynamic tech ecosystem, with 14% of France's digital economy concentrated in Île-de-France. Our Sales Report identifies three critical market catalysts: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Momentum:</w:t>
      </w:r>
      <w:r>
        <w:t xml:space="preserve"> </w:t>
      </w:r>
      <w:r>
        <w:t xml:space="preserve">GDPR compliance requirements have intensified demand for specialized Computer Engineer consultants. Parisian financial institutions allocated €320M+ for data security upgrades in Q3 alone.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Talent Density:</w:t>
      </w:r>
      <w:r>
        <w:t xml:space="preserve"> </w:t>
      </w:r>
      <w:r>
        <w:t xml:space="preserve">The region hosts 47% of France's computer engineering workforce (182,000 professionals), creating a talent pool that accelerates our solution deployment cycles.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Innovation Hub:</w:t>
      </w:r>
      <w:r>
        <w:t xml:space="preserve"> </w:t>
      </w:r>
      <w:r>
        <w:t xml:space="preserve">Paris' Smart City initiatives (e.g.,</w:t>
      </w:r>
      <w:r>
        <w:t xml:space="preserve"> </w:t>
      </w:r>
      <w:r>
        <w:rPr>
          <w:iCs/>
          <w:i/>
        </w:rPr>
        <w:t xml:space="preserve">Ville Numérique</w:t>
      </w:r>
      <w:r>
        <w:t xml:space="preserve">) created 87 new government contracts requiring Computer Engineer integration within municipal infrastructure.</w:t>
      </w:r>
    </w:p>
    <w:bookmarkEnd w:id="22"/>
    <w:bookmarkStart w:id="23" w:name="X3fcafac665f5523fdc22b0e2f25763f5b7e486b"/>
    <w:p>
      <w:pPr>
        <w:pStyle w:val="Heading2"/>
      </w:pPr>
      <w:r>
        <w:t xml:space="preserve">IV. The Critical Role of the Computer Engineer in Sales Success</w:t>
      </w:r>
    </w:p>
    <w:p>
      <w:pPr>
        <w:pStyle w:val="FirstParagraph"/>
      </w:pPr>
      <w:r>
        <w:t xml:space="preserve">This report reveals how our Computer Engineers are not merely technical support but strategic sales catalysts. In France Paris, our engineers: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Shorten Sales Cycles:</w:t>
      </w:r>
      <w:r>
        <w:t xml:space="preserve"> </w:t>
      </w:r>
      <w:r>
        <w:t xml:space="preserve">By conducting 360° solution validation workshops (vs. standard 12-week vendor demos), we reduced client decision timelines by 58% in Parisian enterprise deals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Build Trust Through Technical Authority:</w:t>
      </w:r>
      <w:r>
        <w:t xml:space="preserve"> </w:t>
      </w:r>
      <w:r>
        <w:t xml:space="preserve">During the €4.1M Accor Group contract negotiation, our Computer Engineer presented real-time API integration simulations that convinced executives to bypass traditional RFPs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 Custom Solutions:</w:t>
      </w:r>
      <w:r>
        <w:t xml:space="preserve"> </w:t>
      </w:r>
      <w:r>
        <w:t xml:space="preserve">For Paris-based startup "Nexa," our engineers co-developed a low-code platform reducing client development costs by 73% – directly driving the €1.8M contract</w:t>
      </w:r>
    </w:p>
    <w:bookmarkEnd w:id="23"/>
    <w:bookmarkStart w:id="24" w:name="X3f48a97af368bc4ab783d465cb6911d1dd39c54"/>
    <w:p>
      <w:pPr>
        <w:pStyle w:val="Heading2"/>
      </w:pPr>
      <w:r>
        <w:t xml:space="preserve">V. Paris-Specific Challenges &amp; Strategic Responses</w:t>
      </w:r>
    </w:p>
    <w:p>
      <w:pPr>
        <w:pStyle w:val="FirstParagraph"/>
      </w:pPr>
      <w:r>
        <w:t xml:space="preserve">While Paris offers unparalleled opportunities, localized challenges required agile Computer Engineer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Computer Engineer Intervention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Labor regulations slowing deployment (France's 35-hour workweek)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Designed modular engineering sprints aligned with French labor cycles; implemented shift-based engineer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22% faster project handoffs without legal complications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preference for local French-speaking tech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 bilingual Computer Engineer corps to 87% (up from 63%) in Paris 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new contracts include French-native engineers; eliminated language-related service delays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Parisian clients demanding proof-of-concept before commitment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Deployed on-site "Engineering Sandbox" facilities in La Défense (Paris' business district)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higher close rate; reduced client risk perception by 65%</w:t>
            </w:r>
          </w:p>
        </w:tc>
      </w:tr>
    </w:tbl>
    <w:bookmarkEnd w:id="24"/>
    <w:bookmarkStart w:id="25" w:name="X7840695a3ada17533461ed25c05761bd4b8cfe1"/>
    <w:p>
      <w:pPr>
        <w:pStyle w:val="Heading2"/>
      </w:pPr>
      <w:r>
        <w:t xml:space="preserve">VI. Future Outlook: Scaling Computer Engineering Excellence in France Paris</w:t>
      </w:r>
    </w:p>
    <w:p>
      <w:pPr>
        <w:pStyle w:val="FirstParagraph"/>
      </w:pPr>
      <w:r>
        <w:t xml:space="preserve">Prioritizing Paris as our European headquarters for Computer Engineering sales, we project: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Q4 2023 Target:</w:t>
      </w:r>
      <w:r>
        <w:t xml:space="preserve"> </w:t>
      </w:r>
      <w:r>
        <w:t xml:space="preserve">€10.5M revenue (19% growth) through expansion into Paris's growing FinTech corridor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Initiative:</w:t>
      </w:r>
      <w:r>
        <w:t xml:space="preserve"> </w:t>
      </w:r>
      <w:r>
        <w:t xml:space="preserve">Launching the "Paris Tech Catalyst" program – a dedicated Computer Engineer task force for SMEs in Seine-Saint-Denis, targeting 40 new clients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Partnering with École Polytechnique to establish France's first Computer Engineer apprenticeship program in Paris (launch Q1 2024)</w:t>
      </w:r>
    </w:p>
    <w:bookmarkEnd w:id="25"/>
    <w:bookmarkStart w:id="26" w:name="vii.-conclusion-the-paris-advantage"/>
    <w:p>
      <w:pPr>
        <w:pStyle w:val="Heading2"/>
      </w:pPr>
      <w:r>
        <w:t xml:space="preserve">VII. Conclusion: The Paris Advantage</w:t>
      </w:r>
    </w:p>
    <w:p>
      <w:pPr>
        <w:pStyle w:val="FirstParagraph"/>
      </w:pPr>
      <w:r>
        <w:t xml:space="preserve">This Sales Report conclusively demonstrates that our Computer Engineer teams are the decisive factor behind our market leadership in France Paris. By embedding technical excellence into sales strategy – from GDPR compliance solutions to Smart City integrations – we've transformed how enterprise clients perceive engineering services. The €8.7M Q3 revenue isn't just a number; it's proof that when Computer Engineers collaborate with sales teams as strategic partners (not support staff), they unlock Paris' full potential as Europe's digital innovation capital.</w:t>
      </w:r>
    </w:p>
    <w:p>
      <w:pPr>
        <w:pStyle w:val="BodyText"/>
      </w:pPr>
      <w:r>
        <w:t xml:space="preserve">As France accelerates its national AI strategy and Paris hosts the 2024 Olympics, our Computer Engineering division is positioned to capture 35% of the projected €17.4B European market for technical solution sales. We recommend doubling down on Paris-based engineer investments – this isn't just a regional focus; it's the blueprint for our global growth in high-value engineering markets.</w:t>
      </w:r>
    </w:p>
    <w:p>
      <w:pPr>
        <w:pStyle w:val="BodyText"/>
      </w:pPr>
      <w:r>
        <w:rPr>
          <w:bCs/>
          <w:b/>
        </w:rPr>
        <w:t xml:space="preserve">Prepared with precision by the Global Sales Intelligence Division | Optimizing Computer Engineering Value Across France Paris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Computer Engineering Solutions in France Paris</dc:title>
  <dc:creator/>
  <dc:language>en</dc:language>
  <cp:keywords/>
  <dcterms:created xsi:type="dcterms:W3CDTF">2026-07-15T09:19:53Z</dcterms:created>
  <dcterms:modified xsi:type="dcterms:W3CDTF">2026-07-15T09:19:53Z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