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Tehran</w:t>
      </w:r>
      <w:r>
        <w:t xml:space="preserve"> </w:t>
      </w:r>
      <w:r>
        <w:t xml:space="preserve">Tech</w:t>
      </w:r>
      <w:r>
        <w:t xml:space="preserve"> </w:t>
      </w:r>
      <w:r>
        <w:t xml:space="preserve">Solutions</w:t>
      </w:r>
      <w:r>
        <w:t xml:space="preserve"> </w:t>
      </w:r>
      <w:r>
        <w:t xml:space="preserve">-</w:t>
      </w:r>
      <w:r>
        <w:t xml:space="preserve"> </w:t>
      </w:r>
      <w:r>
        <w:t xml:space="preserve">Sales</w:t>
      </w:r>
      <w:r>
        <w:t xml:space="preserve"> </w:t>
      </w:r>
      <w:r>
        <w:t xml:space="preserve">Report:</w:t>
      </w:r>
      <w:r>
        <w:t xml:space="preserve"> </w:t>
      </w:r>
      <w:r>
        <w:t xml:space="preserve">Computer</w:t>
      </w:r>
      <w:r>
        <w:t xml:space="preserve"> </w:t>
      </w:r>
      <w:r>
        <w:t xml:space="preserve">Engineering</w:t>
      </w:r>
      <w:r>
        <w:t xml:space="preserve"> </w:t>
      </w:r>
      <w:r>
        <w:t xml:space="preserve">Talent</w:t>
      </w:r>
      <w:r>
        <w:t xml:space="preserve"> </w:t>
      </w:r>
      <w:r>
        <w:t xml:space="preserve">Market</w:t>
      </w:r>
    </w:p>
    <w:bookmarkStart w:id="26" w:name="X8c563f898583670d75bb1963f16640526c56898"/>
    <w:p>
      <w:pPr>
        <w:pStyle w:val="Heading1"/>
      </w:pPr>
      <w:r>
        <w:t xml:space="preserve">Sales Report: Computer Engineering Talent Acquisition &amp; Deployment in Tehran, Iran (Q3 2024)</w:t>
      </w:r>
    </w:p>
    <w:p>
      <w:pPr>
        <w:pStyle w:val="FirstParagraph"/>
      </w:pPr>
      <w:r>
        <w:rPr>
          <w:bCs/>
          <w:b/>
        </w:rPr>
        <w:t xml:space="preserve">Prepared For:</w:t>
      </w:r>
      <w:r>
        <w:t xml:space="preserve"> </w:t>
      </w:r>
      <w:r>
        <w:t xml:space="preserve">Executive Leadership Team, Tehran Tech Solutions</w:t>
      </w:r>
      <w:r>
        <w:br/>
      </w:r>
      <w:r>
        <w:rPr>
          <w:bCs/>
          <w:b/>
        </w:rPr>
        <w:t xml:space="preserve">Date:</w:t>
      </w:r>
      <w:r>
        <w:t xml:space="preserve"> </w:t>
      </w:r>
      <w:r>
        <w:t xml:space="preserve">October 26, 2024</w:t>
      </w:r>
      <w:r>
        <w:br/>
      </w:r>
      <w:r>
        <w:rPr>
          <w:bCs/>
          <w:b/>
        </w:rPr>
        <w:t xml:space="preserve">Report Period:</w:t>
      </w:r>
      <w:r>
        <w:t xml:space="preserve"> </w:t>
      </w:r>
      <w:r>
        <w:t xml:space="preserve">July 1, 2024 - September 30, 2024</w:t>
      </w:r>
    </w:p>
    <w:bookmarkStart w:id="20" w:name="i.-executive-summary"/>
    <w:p>
      <w:pPr>
        <w:pStyle w:val="Heading2"/>
      </w:pPr>
      <w:r>
        <w:t xml:space="preserve">I. Executive Summary</w:t>
      </w:r>
    </w:p>
    <w:p>
      <w:pPr>
        <w:pStyle w:val="FirstParagraph"/>
      </w:pPr>
      <w:r>
        <w:t xml:space="preserve">This Sales Report details the performance of Computer Engineer talent acquisition and deployment services within Tehran, Iran's premier technology hub. The quarter marked a significant milestone with a 42% year-over-year growth in successful placements of certified Computer Engineers across key sectors including fintech, telecommunications (MCI Telecom), government IT modernization projects, and AI-driven startups. Tehran continues to serve as the critical engine for Iran's digital transformation, with demand for specialized Computer Engineering expertise outpacing supply by 38% in our core service areas. This report quantifies sales performance, identifies market dynamics unique to Iran's tech ecosystem, and outlines strategic recommendations for sustained growth in the Tehran market.</w:t>
      </w:r>
    </w:p>
    <w:bookmarkEnd w:id="20"/>
    <w:bookmarkStart w:id="21" w:name="Xbd876150b6cfbf05e763b03a3f051df24dc7b6c"/>
    <w:p>
      <w:pPr>
        <w:pStyle w:val="Heading2"/>
      </w:pPr>
      <w:r>
        <w:t xml:space="preserve">II. Market Analysis: The Tehran Computer Engineer Landscape</w:t>
      </w:r>
    </w:p>
    <w:p>
      <w:pPr>
        <w:pStyle w:val="FirstParagraph"/>
      </w:pPr>
      <w:r>
        <w:t xml:space="preserve">Tehran's position as Iran's economic and technological capital remains unchallenged. Home to 65% of Iran's IT workforce and major universities like Sharif University of Technology, Amirkabir University, and Allameh Tabatabai University, the city generates a steady stream of Computer Engineering graduates. However, the gap between academic output and industry-ready skills persists. Our Q3 sales data reveals that 78% of enterprises in Tehran specifically seek Computer Engineers with practical experience in cloud infrastructure (AWS/Azure), cybersecurity frameworks (ISO 27001), and scalable software architecture – areas where local graduates often require upskilling.</w:t>
      </w:r>
    </w:p>
    <w:p>
      <w:pPr>
        <w:pStyle w:val="BodyText"/>
      </w:pPr>
      <w:r>
        <w:t xml:space="preserve">The Iranian government's "Digital Iran 2030" initiative has dramatically accelerated demand for Computer Engineer services. Major contracts from state-owned entities like the Central Bank of Iran and National Information Technology Center have fueled a 27% quarterly increase in enterprise clients seeking Computer Engineering talent. This trend is particularly pronounced in Tehran, where 9 out of every 10 high-value IT procurement projects originate.</w:t>
      </w:r>
    </w:p>
    <w:bookmarkEnd w:id="21"/>
    <w:bookmarkStart w:id="22" w:name="Xf891c22505ca2a3238448feb35484580984b479"/>
    <w:p>
      <w:pPr>
        <w:pStyle w:val="Heading2"/>
      </w:pPr>
      <w:r>
        <w:t xml:space="preserve">III. Sales Performance: Key Metrics for Computer Engineer Placement</w:t>
      </w:r>
    </w:p>
    <w:p>
      <w:pPr>
        <w:pStyle w:val="FirstParagraph"/>
      </w:pPr>
      <w:r>
        <w:t xml:space="preserve">Metrics</w:t>
      </w:r>
    </w:p>
    <w:p>
      <w:pPr>
        <w:pStyle w:val="BodyText"/>
      </w:pPr>
      <w:r>
        <w:t xml:space="preserve">Q3 2024 (Tehran)</w:t>
      </w:r>
    </w:p>
    <w:p>
      <w:pPr>
        <w:pStyle w:val="BodyText"/>
      </w:pPr>
      <w:r>
        <w:t xml:space="preserve">Q3 2023 (Tehran)</w:t>
      </w:r>
    </w:p>
    <w:p>
      <w:pPr>
        <w:pStyle w:val="BodyText"/>
      </w:pPr>
      <w:r>
        <w:t xml:space="preserve">% Change</w:t>
      </w:r>
    </w:p>
    <w:p>
      <w:pPr>
        <w:pStyle w:val="BodyText"/>
      </w:pPr>
      <w:r>
        <w:t xml:space="preserve">Total Computer Engineer Placements</w:t>
      </w:r>
    </w:p>
    <w:p>
      <w:pPr>
        <w:pStyle w:val="BodyText"/>
      </w:pPr>
      <w:r>
        <w:t xml:space="preserve">187</w:t>
      </w:r>
    </w:p>
    <w:p>
      <w:pPr>
        <w:pStyle w:val="BodyText"/>
      </w:pPr>
      <w:r>
        <w:t xml:space="preserve">132</w:t>
      </w:r>
    </w:p>
    <w:p>
      <w:pPr>
        <w:pStyle w:val="BodyText"/>
      </w:pPr>
      <w:r>
        <w:t xml:space="preserve">+41.7%</w:t>
      </w:r>
    </w:p>
    <w:p>
      <w:pPr>
        <w:pStyle w:val="BodyText"/>
      </w:pPr>
      <w:r>
        <w:t xml:space="preserve">Average Contract Value (IRR)</w:t>
      </w:r>
    </w:p>
    <w:p>
      <w:pPr>
        <w:pStyle w:val="BodyText"/>
      </w:pPr>
      <w:r>
        <w:t xml:space="preserve">2,850,000,000</w:t>
      </w:r>
    </w:p>
    <w:p>
      <w:pPr>
        <w:pStyle w:val="BodyText"/>
      </w:pPr>
      <w:r>
        <w:t xml:space="preserve">&lt; td&gt;2,475,625,368</w:t>
      </w:r>
    </w:p>
    <w:p>
      <w:pPr>
        <w:pStyle w:val="BodyText"/>
      </w:pPr>
      <w:r>
        <w:t xml:space="preserve">&lt; td&gt;+15.1%</w:t>
      </w:r>
    </w:p>
    <w:p>
      <w:pPr>
        <w:pStyle w:val="BodyText"/>
      </w:pPr>
      <w:r>
        <w:t xml:space="preserve">Tehran-Based Fintech (42%)</w:t>
      </w:r>
    </w:p>
    <w:p>
      <w:pPr>
        <w:pStyle w:val="BodyText"/>
      </w:pPr>
      <w:r>
        <w:t xml:space="preserve">Telecom (MCI, Irancell) (31%)</w:t>
      </w:r>
    </w:p>
    <w:p>
      <w:pPr>
        <w:pStyle w:val="BodyText"/>
      </w:pPr>
      <w:r>
        <w:t xml:space="preserve">Government IT Projects (19%)</w:t>
      </w:r>
    </w:p>
    <w:p>
      <w:pPr>
        <w:pStyle w:val="BodyText"/>
      </w:pPr>
      <w:r>
        <w:rPr>
          <w:bCs/>
          <w:b/>
        </w:rPr>
        <w:t xml:space="preserve">Key Insight:</w:t>
      </w:r>
      <w:r>
        <w:t xml:space="preserve"> </w:t>
      </w:r>
      <w:r>
        <w:t xml:space="preserve">The 42% growth in placements directly correlates with Tehran's rapid expansion of smart city initiatives and banking digitalization. Fintech companies in Tehran's "Tech Valley" district (Narmak) alone accounted for 38% of new placements, demonstrating concentrated demand. Our sales team successfully closed contracts with 15 new enterprise clients, including three major national banks, all specifically requesting Computer Engineers with expertise in blockchain integration and real-time data analytics.</w:t>
      </w:r>
    </w:p>
    <w:bookmarkEnd w:id="22"/>
    <w:bookmarkStart w:id="23" w:name="X8bf404109bf31c6da313f892ac90301d77eae28"/>
    <w:p>
      <w:pPr>
        <w:pStyle w:val="Heading2"/>
      </w:pPr>
      <w:r>
        <w:t xml:space="preserve">IV. Challenges in the Tehran Market for Computer Engineer Sales</w:t>
      </w:r>
    </w:p>
    <w:p>
      <w:pPr>
        <w:pStyle w:val="FirstParagraph"/>
      </w:pPr>
      <w:r>
        <w:t xml:space="preserve">Despite robust demand, our sales team encountered persistent challenges unique to Iran's business environment:</w:t>
      </w:r>
    </w:p>
    <w:p>
      <w:pPr>
        <w:numPr>
          <w:ilvl w:val="0"/>
          <w:numId w:val="1001"/>
        </w:numPr>
        <w:pStyle w:val="Compact"/>
      </w:pPr>
      <w:r>
        <w:rPr>
          <w:bCs/>
          <w:b/>
        </w:rPr>
        <w:t xml:space="preserve">Talent Retention Pressure:</w:t>
      </w:r>
      <w:r>
        <w:t xml:space="preserve"> </w:t>
      </w:r>
      <w:r>
        <w:t xml:space="preserve">34% of placed Computer Engineers received offers from Gulf-based firms during Q3, leading to early contract terminations. Tehran-based clients face intense competition for niche skills.</w:t>
      </w:r>
    </w:p>
    <w:p>
      <w:pPr>
        <w:numPr>
          <w:ilvl w:val="0"/>
          <w:numId w:val="1001"/>
        </w:numPr>
        <w:pStyle w:val="Compact"/>
      </w:pPr>
      <w:r>
        <w:rPr>
          <w:bCs/>
          <w:b/>
        </w:rPr>
        <w:t xml:space="preserve">Currency Volatility Impact:</w:t>
      </w:r>
      <w:r>
        <w:t xml:space="preserve"> </w:t>
      </w:r>
      <w:r>
        <w:t xml:space="preserve">Fluctuations in IRR exchange rates affected long-term contract pricing structures for multinational clients operating through Tehran offices, complicating sales forecasting.</w:t>
      </w:r>
    </w:p>
    <w:p>
      <w:pPr>
        <w:numPr>
          <w:ilvl w:val="0"/>
          <w:numId w:val="1001"/>
        </w:numPr>
        <w:pStyle w:val="Compact"/>
      </w:pPr>
      <w:r>
        <w:rPr>
          <w:bCs/>
          <w:b/>
        </w:rPr>
        <w:t xml:space="preserve">Skill Mismatch Gap:</w:t>
      </w:r>
      <w:r>
        <w:t xml:space="preserve"> </w:t>
      </w:r>
      <w:r>
        <w:t xml:space="preserve">62% of client requirements specified "5+ years of experience," but only 28% of available Tehran-based Computer Engineers met this criterion without significant training. This gap directly impacts our sales conversion rate for senior roles.</w:t>
      </w:r>
    </w:p>
    <w:bookmarkEnd w:id="23"/>
    <w:bookmarkStart w:id="24" w:name="X4ada23f13cb299292c1909f2e99715800c26bf6"/>
    <w:p>
      <w:pPr>
        <w:pStyle w:val="Heading2"/>
      </w:pPr>
      <w:r>
        <w:t xml:space="preserve">V. Strategic Recommendations for Future Sales Growth (Tehran Focus)</w:t>
      </w:r>
    </w:p>
    <w:p>
      <w:pPr>
        <w:pStyle w:val="FirstParagraph"/>
      </w:pPr>
      <w:r>
        <w:t xml:space="preserve">To capitalize on Iran's burgeoning tech market and solidify our leadership in Computer Engineer talent solutions within Tehran, we propose the following actions:</w:t>
      </w:r>
    </w:p>
    <w:p>
      <w:pPr>
        <w:numPr>
          <w:ilvl w:val="0"/>
          <w:numId w:val="1002"/>
        </w:numPr>
        <w:pStyle w:val="Compact"/>
      </w:pPr>
      <w:r>
        <w:rPr>
          <w:bCs/>
          <w:b/>
        </w:rPr>
        <w:t xml:space="preserve">Launch "Tehran Tech Accelerator" Program:</w:t>
      </w:r>
      <w:r>
        <w:t xml:space="preserve"> </w:t>
      </w:r>
      <w:r>
        <w:t xml:space="preserve">Partner with Sharif University and Amirkabir University to develop industry-aligned bootcamps focused on cloud security (AWS Certified) and AI model deployment – skills most frequently requested by Tehran enterprises. This directly addresses the talent gap impacting sales conversions.</w:t>
      </w:r>
    </w:p>
    <w:p>
      <w:pPr>
        <w:numPr>
          <w:ilvl w:val="0"/>
          <w:numId w:val="1002"/>
        </w:numPr>
        <w:pStyle w:val="Compact"/>
      </w:pPr>
      <w:r>
        <w:rPr>
          <w:bCs/>
          <w:b/>
        </w:rPr>
        <w:t xml:space="preserve">Establish Tehran Client Success Units:</w:t>
      </w:r>
      <w:r>
        <w:t xml:space="preserve"> </w:t>
      </w:r>
      <w:r>
        <w:t xml:space="preserve">Deploy dedicated account managers based in Narmak and Tajrish districts to provide localized support for clients, reducing response times for Computer Engineer project onboarding (target: 48-hour SLA).</w:t>
      </w:r>
    </w:p>
    <w:p>
      <w:pPr>
        <w:numPr>
          <w:ilvl w:val="0"/>
          <w:numId w:val="1002"/>
        </w:numPr>
        <w:pStyle w:val="Compact"/>
      </w:pPr>
      <w:r>
        <w:rPr>
          <w:bCs/>
          <w:b/>
        </w:rPr>
        <w:t xml:space="preserve">Negotiate Multi-Year Retention Agreements:</w:t>
      </w:r>
      <w:r>
        <w:t xml:space="preserve"> </w:t>
      </w:r>
      <w:r>
        <w:t xml:space="preserve">Develop client contracts including "Talent Stability Clauses" with incentives for extending Computer Engineer contracts beyond 18 months, mitigating the brain drain challenge prevalent in Tehran's tech market.</w:t>
      </w:r>
    </w:p>
    <w:p>
      <w:pPr>
        <w:numPr>
          <w:ilvl w:val="0"/>
          <w:numId w:val="1002"/>
        </w:numPr>
        <w:pStyle w:val="Compact"/>
      </w:pPr>
      <w:r>
        <w:rPr>
          <w:bCs/>
          <w:b/>
        </w:rPr>
        <w:t xml:space="preserve">Target Emerging Sectors:</w:t>
      </w:r>
      <w:r>
        <w:t xml:space="preserve"> </w:t>
      </w:r>
      <w:r>
        <w:t xml:space="preserve">Proactively pursue sales opportunities in Tehran's growing cybersecurity sector (driven by new Iran Cybersecurity Law) and renewable energy digitalization projects (e.g., Solar Energy Management Systems), where Computer Engineer expertise is critical but underserved.</w:t>
      </w:r>
    </w:p>
    <w:bookmarkEnd w:id="24"/>
    <w:bookmarkStart w:id="25" w:name="vi.-conclusion"/>
    <w:p>
      <w:pPr>
        <w:pStyle w:val="Heading2"/>
      </w:pPr>
      <w:r>
        <w:t xml:space="preserve">VI. Conclusion</w:t>
      </w:r>
    </w:p>
    <w:p>
      <w:pPr>
        <w:pStyle w:val="FirstParagraph"/>
      </w:pPr>
      <w:r>
        <w:t xml:space="preserve">The Computer Engineering talent market in Tehran, Iran remains a high-potential arena for strategic sales expansion. Our Q3 performance underscores the city's irreplaceable role as the nerve center of Iran's IT industry and validates our service model focused on delivering specialized Computer Engineer solutions. While challenges like talent retention and currency volatility exist, they are manageable through localized partnerships and product innovation.</w:t>
      </w:r>
    </w:p>
    <w:p>
      <w:pPr>
        <w:pStyle w:val="BodyText"/>
      </w:pPr>
      <w:r>
        <w:t xml:space="preserve">Tehran Tech Solutions must deepen its engagement within Tehran's ecosystem to become the preferred partner for Computer Engineer acquisition. By aligning our sales strategy with Iran's national digital goals – particularly those centered in Tehran – we position ourselves not just as a vendor, but as an enabler of Iran's technological sovereignty. The data is clear: For businesses seeking to thrive in modern Iran, securing top-tier Computer Engineering talent through a specialized service provider like ours is no longer optional; it's the foundation for success. We project 35% year-over-year growth in Computer Engineer placements across Tehran by Q2 2025, contingent on executing the strategic recommendations outlined herein.</w:t>
      </w:r>
    </w:p>
    <w:p>
      <w:pPr>
        <w:pStyle w:val="BodyText"/>
      </w:pPr>
      <w:r>
        <w:rPr>
          <w:bCs/>
          <w:b/>
        </w:rPr>
        <w:t xml:space="preserve">Prepared By:</w:t>
      </w:r>
      <w:r>
        <w:t xml:space="preserve"> </w:t>
      </w:r>
      <w:r>
        <w:t xml:space="preserve">Ali Reza Naderi, Head of Sales &amp; Client Development</w:t>
      </w:r>
      <w:r>
        <w:br/>
      </w:r>
      <w:r>
        <w:rPr>
          <w:bCs/>
          <w:b/>
        </w:rPr>
        <w:t xml:space="preserve">Tehran Tech Solutions</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Tehran Tech Solutions - Sales Report: Computer Engineering Talent Market</dc:title>
  <dc:creator/>
  <dc:language>en</dc:language>
  <cp:keywords/>
  <dcterms:created xsi:type="dcterms:W3CDTF">2026-07-12T06:13:32Z</dcterms:created>
  <dcterms:modified xsi:type="dcterms:W3CDTF">2026-07-12T06:13:32Z</dcterms:modified>
</cp:coreProperties>
</file>

<file path=docProps/custom.xml><?xml version="1.0" encoding="utf-8"?>
<Properties xmlns="http://schemas.openxmlformats.org/officeDocument/2006/custom-properties" xmlns:vt="http://schemas.openxmlformats.org/officeDocument/2006/docPropsVTypes"/>
</file>