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7187e3772d9b8f14deb3994fb2221c413327594"/>
    <w:p>
      <w:pPr>
        <w:pStyle w:val="Heading1"/>
      </w:pPr>
      <w:r>
        <w:t xml:space="preserve">Quarterly Sales Performance Report: Computer Engineer Services in Kuwait City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Management, Kuwait Technology Solutions (KTS)</w:t>
      </w:r>
      <w:r>
        <w:br/>
      </w:r>
      <w:r>
        <w:rPr>
          <w:bCs/>
          <w:b/>
        </w:rPr>
        <w:t xml:space="preserve">Prepared By:</w:t>
      </w:r>
      <w:r>
        <w:t xml:space="preserve"> </w:t>
      </w:r>
      <w:r>
        <w:t xml:space="preserve">Ahmed Al-Mutairi, Sales Operations Director</w:t>
      </w:r>
    </w:p>
    <w:bookmarkStart w:id="20" w:name="i.-executive-summary"/>
    <w:p>
      <w:pPr>
        <w:pStyle w:val="Heading2"/>
      </w:pPr>
      <w:r>
        <w:t xml:space="preserve">I. Executive Summary</w:t>
      </w:r>
    </w:p>
    <w:p>
      <w:pPr>
        <w:pStyle w:val="FirstParagraph"/>
      </w:pPr>
      <w:r>
        <w:t xml:space="preserve">This comprehensive Sales Report details the performance of Computer Engineer services across Kuwait City for the third quarter of 2024. The report highlights a 18.7% year-over-year growth in engineering service contracts, driven by strategic investments in digital transformation within Kuwait City's commercial and government sectors. With Kuwait City serving as the economic hub of Kuwait, our Computer Engineer teams have secured key projects totaling KWD 1.85 million (USD 6.3 million) during Q3, exceeding target by 12%. This growth underscores the critical role of specialized Computer Engineer expertise in meeting Kuwait's evolving technological demands.</w:t>
      </w:r>
    </w:p>
    <w:bookmarkEnd w:id="20"/>
    <w:bookmarkStart w:id="21" w:name="X9e4ef5cb40b75958e55b3a4dc0e41dcc0431329"/>
    <w:p>
      <w:pPr>
        <w:pStyle w:val="Heading2"/>
      </w:pPr>
      <w:r>
        <w:t xml:space="preserve">II. Market Context: Kuwait City's Technology Landscape</w:t>
      </w:r>
    </w:p>
    <w:p>
      <w:pPr>
        <w:pStyle w:val="FirstParagraph"/>
      </w:pPr>
      <w:r>
        <w:t xml:space="preserve">Kuwait City remains the epicenter of technological advancement in Kuwait, hosting over 65% of the nation's IT infrastructure projects. The government’s "National Strategy for Digital Transformation" and private sector initiatives like the Kuwait Economic Zone (KEZ) have accelerated demand for skilled Computer Engineers. In Q3, 78% of all sales opportunities originated from enterprises within Kuwait City's central business districts (Safat, Al-Salmiya, and Al-Asima), where high-density commercial operations require robust network architecture, cybersecurity protocols, and cloud migration services. Our analysis confirms that the demand for Computer Engineer services in Kuwait City is directly correlated with national digitalization targets set by the Ministry of Information &amp; Communication Technology (MICT).</w:t>
      </w:r>
    </w:p>
    <w:bookmarkEnd w:id="21"/>
    <w:bookmarkStart w:id="23"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2024 Revenue (KWD)</w:t>
      </w:r>
    </w:p>
    <w:p>
      <w:pPr>
        <w:pStyle w:val="BodyText"/>
      </w:pPr>
      <w:r>
        <w:t xml:space="preserve">% of Total Revenue</w:t>
      </w:r>
    </w:p>
    <w:p>
      <w:pPr>
        <w:pStyle w:val="BodyText"/>
      </w:pPr>
      <w:r>
        <w:t xml:space="preserve">YoY Growth</w:t>
      </w:r>
    </w:p>
    <w:p>
      <w:pPr>
        <w:pStyle w:val="BodyText"/>
      </w:pPr>
      <w:r>
        <w:t xml:space="preserve">Enterprise Network Infrastructure</w:t>
      </w:r>
    </w:p>
    <w:p>
      <w:pPr>
        <w:pStyle w:val="BodyText"/>
      </w:pPr>
      <w:r>
        <w:t xml:space="preserve">725,000</w:t>
      </w:r>
    </w:p>
    <w:p>
      <w:pPr>
        <w:pStyle w:val="BodyText"/>
      </w:pPr>
      <w:r>
        <w:t xml:space="preserve">39.2%</w:t>
      </w:r>
    </w:p>
    <w:p>
      <w:pPr>
        <w:pStyle w:val="BodyText"/>
      </w:pPr>
      <w:r>
        <w:t xml:space="preserve">+15.4%</w:t>
      </w:r>
    </w:p>
    <w:p>
      <w:pPr>
        <w:pStyle w:val="BodyText"/>
      </w:pPr>
      <w:r>
        <w:t xml:space="preserve">Cybersecurity Implementation</w:t>
      </w:r>
    </w:p>
    <w:p>
      <w:pPr>
        <w:pStyle w:val="BodyText"/>
      </w:pPr>
      <w:r>
        <w:t xml:space="preserve">480,500</w:t>
      </w:r>
    </w:p>
    <w:p>
      <w:pPr>
        <w:pStyle w:val="BodyText"/>
      </w:pPr>
    </w:p>
    <w:p>
      <w:pPr>
        <w:pStyle w:val="BodyText"/>
      </w:pPr>
      <w:r>
        <w:t xml:space="preserve">26.0%</w:t>
      </w:r>
    </w:p>
    <w:p>
      <w:pPr>
        <w:pStyle w:val="BodyText"/>
      </w:pPr>
      <w:r>
        <w:t xml:space="preserve">Note: 26.0% highlighted for emphasis on key growth area</w:t>
      </w:r>
    </w:p>
    <w:bookmarkStart w:id="22" w:name="key-highlights"/>
    <w:p>
      <w:pPr>
        <w:pStyle w:val="Heading3"/>
      </w:pPr>
      <w:r>
        <w:t xml:space="preserve">Key Highlights:</w:t>
      </w:r>
    </w:p>
    <w:p>
      <w:pPr>
        <w:numPr>
          <w:ilvl w:val="0"/>
          <w:numId w:val="1001"/>
        </w:numPr>
        <w:pStyle w:val="Compact"/>
      </w:pPr>
      <w:r>
        <w:rPr>
          <w:bCs/>
          <w:b/>
        </w:rPr>
        <w:t xml:space="preserve">Cybersecurity Dominance:</w:t>
      </w:r>
      <w:r>
        <w:t xml:space="preserve"> </w:t>
      </w:r>
      <w:r>
        <w:t xml:space="preserve">A 31% surge in sales (KWD 480,500) reflects Kuwait City's heightened focus on protecting critical infrastructure post-2023 regional cyber incidents. Our Computer Engineers secured contracts with the Central Bank of Kuwait and major banks in Kuwait City.</w:t>
      </w:r>
    </w:p>
    <w:p>
      <w:pPr>
        <w:numPr>
          <w:ilvl w:val="0"/>
          <w:numId w:val="1001"/>
        </w:numPr>
        <w:pStyle w:val="Compact"/>
      </w:pPr>
      <w:r>
        <w:rPr>
          <w:bCs/>
          <w:b/>
        </w:rPr>
        <w:t xml:space="preserve">Cloud Migration Surge:</w:t>
      </w:r>
      <w:r>
        <w:t xml:space="preserve"> </w:t>
      </w:r>
      <w:r>
        <w:t xml:space="preserve">Enterprise demand for Azure/AWS migration services grew by 27%, led by retail conglomerates headquartered in Kuwait City’s Al-Shamaliyah district.</w:t>
      </w:r>
    </w:p>
    <w:p>
      <w:pPr>
        <w:numPr>
          <w:ilvl w:val="0"/>
          <w:numId w:val="1001"/>
        </w:numPr>
        <w:pStyle w:val="Compact"/>
      </w:pPr>
      <w:r>
        <w:rPr>
          <w:bCs/>
          <w:b/>
        </w:rPr>
        <w:t xml:space="preserve">Government Collaboration:</w:t>
      </w:r>
      <w:r>
        <w:t xml:space="preserve"> </w:t>
      </w:r>
      <w:r>
        <w:t xml:space="preserve">The Ministry of Health’s new telemedicine platform (Kuwait City-based) accounted for 19% of total sales, requiring specialized Computer Engineer teams for HIPAA-compliant system integration.</w:t>
      </w:r>
    </w:p>
    <w:bookmarkEnd w:id="22"/>
    <w:bookmarkEnd w:id="23"/>
    <w:bookmarkStart w:id="24" w:name="iv.-kuwait-city-specific-sales-drivers"/>
    <w:p>
      <w:pPr>
        <w:pStyle w:val="Heading2"/>
      </w:pPr>
      <w:r>
        <w:t xml:space="preserve">IV. Kuwait City-Specific Sales Drivers</w:t>
      </w:r>
    </w:p>
    <w:p>
      <w:pPr>
        <w:pStyle w:val="FirstParagraph"/>
      </w:pPr>
      <w:r>
        <w:t xml:space="preserve">The success in Kuwait City is rooted in localized market understanding:</w:t>
      </w:r>
    </w:p>
    <w:p>
      <w:pPr>
        <w:numPr>
          <w:ilvl w:val="0"/>
          <w:numId w:val="1002"/>
        </w:numPr>
        <w:pStyle w:val="Compact"/>
      </w:pPr>
      <w:r>
        <w:rPr>
          <w:bCs/>
          <w:b/>
        </w:rPr>
        <w:t xml:space="preserve">Cultural Alignment:</w:t>
      </w:r>
      <w:r>
        <w:t xml:space="preserve"> </w:t>
      </w:r>
      <w:r>
        <w:t xml:space="preserve">Our Computer Engineers undergo cultural sensitivity training for Kuwaiti business protocols, enabling seamless stakeholder engagement with local leadership in Kuwait City. This directly contributed to closing 83% of government contracts this quarter.</w:t>
      </w:r>
    </w:p>
    <w:p>
      <w:pPr>
        <w:numPr>
          <w:ilvl w:val="0"/>
          <w:numId w:val="1002"/>
        </w:numPr>
        <w:pStyle w:val="Compact"/>
      </w:pPr>
      <w:r>
        <w:rPr>
          <w:bCs/>
          <w:b/>
        </w:rPr>
        <w:t xml:space="preserve">Infrastructure Synergy:</w:t>
      </w:r>
      <w:r>
        <w:t xml:space="preserve"> </w:t>
      </w:r>
      <w:r>
        <w:t xml:space="preserve">Projects in Kuwait City leverage the nation’s fiber-optic backbone (e.g., Gulf Bridge International), allowing our Computer Engineers to deploy solutions with 40% faster implementation timelines versus regional competitors.</w:t>
      </w:r>
    </w:p>
    <w:p>
      <w:pPr>
        <w:numPr>
          <w:ilvl w:val="0"/>
          <w:numId w:val="1002"/>
        </w:numPr>
        <w:pStyle w:val="Compact"/>
      </w:pPr>
      <w:r>
        <w:rPr>
          <w:bCs/>
          <w:b/>
        </w:rPr>
        <w:t xml:space="preserve">Seasonal Demand:</w:t>
      </w:r>
      <w:r>
        <w:t xml:space="preserve"> </w:t>
      </w:r>
      <w:r>
        <w:t xml:space="preserve">Post-Ramadan, Kuwait City businesses intensified IT investments. Our Q3 pipeline grew 22% during this period, as corporate offices in Al-Farwaniya and Hawalli prioritized system modernization.</w:t>
      </w:r>
    </w:p>
    <w:bookmarkEnd w:id="24"/>
    <w:bookmarkStart w:id="25" w:name="v.-challenges-in-kuwait-city-market"/>
    <w:p>
      <w:pPr>
        <w:pStyle w:val="Heading2"/>
      </w:pPr>
      <w:r>
        <w:t xml:space="preserve">V. Challenges in Kuwait City Market</w:t>
      </w:r>
    </w:p>
    <w:p>
      <w:pPr>
        <w:pStyle w:val="FirstParagraph"/>
      </w:pPr>
      <w:r>
        <w:t xml:space="preserve">Despite strong growth, sales teams encountered unique hurdles specific to Kuwait City:</w:t>
      </w:r>
    </w:p>
    <w:p>
      <w:pPr>
        <w:numPr>
          <w:ilvl w:val="0"/>
          <w:numId w:val="1003"/>
        </w:numPr>
        <w:pStyle w:val="Compact"/>
      </w:pPr>
      <w:r>
        <w:rPr>
          <w:bCs/>
          <w:b/>
        </w:rPr>
        <w:t xml:space="preserve">Talent Shortage:</w:t>
      </w:r>
      <w:r>
        <w:t xml:space="preserve"> </w:t>
      </w:r>
      <w:r>
        <w:t xml:space="preserve">68% of client requests cited difficulty finding local Computer Engineers with Arabic/English bilingual proficiency and GCC compliance knowledge. This constrained our capacity to scale rapidly in Kuwait City’s competitive environment.</w:t>
      </w:r>
    </w:p>
    <w:p>
      <w:pPr>
        <w:numPr>
          <w:ilvl w:val="0"/>
          <w:numId w:val="1003"/>
        </w:numPr>
        <w:pStyle w:val="Compact"/>
      </w:pPr>
      <w:r>
        <w:rPr>
          <w:bCs/>
          <w:b/>
        </w:rPr>
        <w:t xml:space="preserve">Regulatory Complexity:</w:t>
      </w:r>
      <w:r>
        <w:t xml:space="preserve"> </w:t>
      </w:r>
      <w:r>
        <w:t xml:space="preserve">The new Kuwait Data Protection Law (KDPD) required custom solutions for clients. Our Computer Engineers spent 15% more project hours on compliance documentation, impacting margin velocity.</w:t>
      </w:r>
    </w:p>
    <w:p>
      <w:pPr>
        <w:numPr>
          <w:ilvl w:val="0"/>
          <w:numId w:val="1003"/>
        </w:numPr>
        <w:pStyle w:val="Compact"/>
      </w:pPr>
      <w:r>
        <w:rPr>
          <w:bCs/>
          <w:b/>
        </w:rPr>
        <w:t xml:space="preserve">Logistics in Urban Core:</w:t>
      </w:r>
      <w:r>
        <w:t xml:space="preserve"> </w:t>
      </w:r>
      <w:r>
        <w:t xml:space="preserve">High traffic and restricted access to buildings in downtown Kuwait City delayed 34% of on-site installations, necessitating revised service level agreements (SLAs) for urban projects.</w:t>
      </w:r>
    </w:p>
    <w:bookmarkEnd w:id="25"/>
    <w:bookmarkStart w:id="26" w:name="X1e519e2389f71e899574353e804b246513ff9b7"/>
    <w:p>
      <w:pPr>
        <w:pStyle w:val="Heading2"/>
      </w:pPr>
      <w:r>
        <w:t xml:space="preserve">VI. Strategic Recommendations for Kuwait City Operations</w:t>
      </w:r>
    </w:p>
    <w:p>
      <w:pPr>
        <w:pStyle w:val="FirstParagraph"/>
      </w:pPr>
      <w:r>
        <w:t xml:space="preserve">To capitalize on Kuwait City’s growth trajectory, we propose:</w:t>
      </w:r>
    </w:p>
    <w:p>
      <w:pPr>
        <w:numPr>
          <w:ilvl w:val="0"/>
          <w:numId w:val="1004"/>
        </w:numPr>
        <w:pStyle w:val="Compact"/>
      </w:pPr>
      <w:r>
        <w:rPr>
          <w:bCs/>
          <w:b/>
        </w:rPr>
        <w:t xml:space="preserve">Launch Local Talent Academy:</w:t>
      </w:r>
      <w:r>
        <w:t xml:space="preserve"> </w:t>
      </w:r>
      <w:r>
        <w:t xml:space="preserve">Partner with Kuwait University and Public Authority for Applied Education to train 50+ Computer Engineers in Q1 2025. Focus on Arabic-speaking cybersecurity specialists to address talent gaps.</w:t>
      </w:r>
    </w:p>
    <w:p>
      <w:pPr>
        <w:numPr>
          <w:ilvl w:val="0"/>
          <w:numId w:val="1004"/>
        </w:numPr>
        <w:pStyle w:val="Compact"/>
      </w:pPr>
      <w:r>
        <w:rPr>
          <w:bCs/>
          <w:b/>
        </w:rPr>
        <w:t xml:space="preserve">Develop Kuwait City-Specific Solution Packs:</w:t>
      </w:r>
      <w:r>
        <w:t xml:space="preserve"> </w:t>
      </w:r>
      <w:r>
        <w:t xml:space="preserve">Create pre-vetted packages (e.g., "Kuwait Financial Sector Cybersecurity Bundle") for rapid deployment to enterprises in Kuwait City’s financial district.</w:t>
      </w:r>
    </w:p>
    <w:p>
      <w:pPr>
        <w:numPr>
          <w:ilvl w:val="0"/>
          <w:numId w:val="1004"/>
        </w:numPr>
        <w:pStyle w:val="Compact"/>
      </w:pPr>
      <w:r>
        <w:rPr>
          <w:bCs/>
          <w:b/>
        </w:rPr>
        <w:t xml:space="preserve">Optimize Urban Service Delivery:</w:t>
      </w:r>
      <w:r>
        <w:t xml:space="preserve"> </w:t>
      </w:r>
      <w:r>
        <w:t xml:space="preserve">Partner with local logistics firms (e.g., Al-Mutawa Couriers) for same-day technician dispatch across Kuwait City, reducing installation delays by 25%.</w:t>
      </w:r>
    </w:p>
    <w:bookmarkEnd w:id="26"/>
    <w:bookmarkStart w:id="27" w:name="vii.-conclusion"/>
    <w:p>
      <w:pPr>
        <w:pStyle w:val="Heading2"/>
      </w:pPr>
      <w:r>
        <w:t xml:space="preserve">VII. Conclusion</w:t>
      </w:r>
    </w:p>
    <w:p>
      <w:pPr>
        <w:pStyle w:val="FirstParagraph"/>
      </w:pPr>
      <w:r>
        <w:t xml:space="preserve">The Q3 Sales Report underscores that Computer Engineer services are not merely technical offerings but strategic business enablers within Kuwait City’s digital economy. With 74% of our revenue directly tied to projects in Kuwait City, we must deepen our local expertise while scaling operations to meet the city’s aggressive transformation targets. The future belongs to Computer Engineers who understand Kuwait City’s unique blend of cultural norms, regulatory frameworks, and infrastructure dynamics. As we enter Q4 2024, all efforts will prioritize securing contracts for the upcoming "Kuwait City Smart Infrastructure Initiative" – a landmark project expected to generate KWD 3.2 million in sales opportunities.</w:t>
      </w:r>
    </w:p>
    <w:p>
      <w:pPr>
        <w:pStyle w:val="BodyText"/>
      </w:pPr>
      <w:r>
        <w:rPr>
          <w:bCs/>
          <w:b/>
        </w:rPr>
        <w:t xml:space="preserve">Final Note:</w:t>
      </w:r>
      <w:r>
        <w:t xml:space="preserve"> </w:t>
      </w:r>
      <w:r>
        <w:t xml:space="preserve">This report reflects the critical intersection of engineering excellence and market acumen essential for success in Kuwait City. Our Computer Engineers are not just technicians; they are partners driving Kuwait’s digital sovereignty.</w:t>
      </w:r>
    </w:p>
    <w:p>
      <w:r>
        <w:pict>
          <v:rect style="width:0;height:1.5pt" o:hralign="center" o:hrstd="t" o:hr="t"/>
        </w:pict>
      </w:r>
    </w:p>
    <w:p>
      <w:pPr>
        <w:pStyle w:val="FirstParagraph"/>
      </w:pPr>
      <w:r>
        <w:rPr>
          <w:iCs/>
          <w:i/>
        </w:rPr>
        <w:t xml:space="preserve">This document complies with KTS Sales Reporting Standards (Version 4.2) and is valid for Kuwait City operations only. All figures are reported in Kuwaiti Dinar (KWD).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Computer Engineer Sales Report | Q3 2024</dc:title>
  <dc:creator/>
  <dc:language>en</dc:language>
  <cp:keywords/>
  <dcterms:created xsi:type="dcterms:W3CDTF">2026-04-29T02:49:23Z</dcterms:created>
  <dcterms:modified xsi:type="dcterms:W3CDTF">2026-04-29T02:49:23Z</dcterms:modified>
</cp:coreProperties>
</file>

<file path=docProps/custom.xml><?xml version="1.0" encoding="utf-8"?>
<Properties xmlns="http://schemas.openxmlformats.org/officeDocument/2006/custom-properties" xmlns:vt="http://schemas.openxmlformats.org/officeDocument/2006/docPropsVTypes"/>
</file>