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Impact</w:t>
      </w:r>
      <w:r>
        <w:t xml:space="preserve"> </w:t>
      </w:r>
      <w:r>
        <w:t xml:space="preserve">on</w:t>
      </w:r>
      <w:r>
        <w:t xml:space="preserve"> </w:t>
      </w:r>
      <w:r>
        <w:t xml:space="preserve">Moscow</w:t>
      </w:r>
      <w:r>
        <w:t xml:space="preserve"> </w:t>
      </w:r>
      <w:r>
        <w:t xml:space="preserve">Market</w:t>
      </w:r>
      <w:r>
        <w:t xml:space="preserve"> </w:t>
      </w:r>
      <w:r>
        <w:t xml:space="preserve">Performance</w:t>
      </w:r>
    </w:p>
    <w:bookmarkStart w:id="27" w:name="Xa41acafb4fd246c389bc0fa26f876eac3bee3d9"/>
    <w:p>
      <w:pPr>
        <w:pStyle w:val="Heading1"/>
      </w:pPr>
      <w:r>
        <w:t xml:space="preserve">Q3 2024 Sales Performance Report: Strategic Influence of Computer Engineers in Russia's Moscow Technology Sector</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Moscow Regional Office</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report details the direct correlation between strategic recruitment and retention of highly skilled</w:t>
      </w:r>
      <w:r>
        <w:t xml:space="preserve"> </w:t>
      </w:r>
      <w:r>
        <w:rPr>
          <w:bCs/>
          <w:b/>
        </w:rPr>
        <w:t xml:space="preserve">Computer Engineer</w:t>
      </w:r>
      <w:r>
        <w:t xml:space="preserve">s within our Moscow operations and overall sales performance. In Russia's most dynamic tech hub, Moscow has demonstrated a 19.7% YoY revenue growth in our core IT solutions division, with Computer Engineer talent acquisition being the single largest driver of this success. This document establishes the critical linkage between</w:t>
      </w:r>
      <w:r>
        <w:t xml:space="preserve"> </w:t>
      </w:r>
      <w:r>
        <w:rPr>
          <w:bCs/>
          <w:b/>
        </w:rPr>
        <w:t xml:space="preserve">Computer Engineer</w:t>
      </w:r>
      <w:r>
        <w:t xml:space="preserve"> </w:t>
      </w:r>
      <w:r>
        <w:t xml:space="preserve">capabilities and our market position as we navigate Russia's evolving digital landscape.</w:t>
      </w:r>
    </w:p>
    <w:bookmarkEnd w:id="20"/>
    <w:bookmarkStart w:id="21" w:name="X803e32fbbcede0891839dc082204944e9d74a51"/>
    <w:p>
      <w:pPr>
        <w:pStyle w:val="Heading2"/>
      </w:pPr>
      <w:r>
        <w:t xml:space="preserve">II. Moscow Sales Performance: Market Context</w:t>
      </w:r>
    </w:p>
    <w:p>
      <w:pPr>
        <w:pStyle w:val="FirstParagraph"/>
      </w:pPr>
      <w:r>
        <w:t xml:space="preserve">Moscow remains the undisputed center of Russia's technology economy, accounting for 58% of national IT sector revenue. Our Q3 sales data reflects this reality:</w:t>
      </w:r>
    </w:p>
    <w:p>
      <w:pPr>
        <w:numPr>
          <w:ilvl w:val="0"/>
          <w:numId w:val="1001"/>
        </w:numPr>
        <w:pStyle w:val="Compact"/>
      </w:pPr>
      <w:r>
        <w:rPr>
          <w:bCs/>
          <w:b/>
        </w:rPr>
        <w:t xml:space="preserve">Revenue Growth:</w:t>
      </w:r>
      <w:r>
        <w:t xml:space="preserve"> </w:t>
      </w:r>
      <w:r>
        <w:t xml:space="preserve">$14.2M (up 19.7% YoY), with Moscow contributing $9.8M (69% of total)</w:t>
      </w:r>
    </w:p>
    <w:p>
      <w:pPr>
        <w:numPr>
          <w:ilvl w:val="0"/>
          <w:numId w:val="1001"/>
        </w:numPr>
        <w:pStyle w:val="Compact"/>
      </w:pPr>
      <w:r>
        <w:rPr>
          <w:bCs/>
          <w:b/>
        </w:rPr>
        <w:t xml:space="preserve">New Client Acquisition:</w:t>
      </w:r>
      <w:r>
        <w:t xml:space="preserve"> </w:t>
      </w:r>
      <w:r>
        <w:t xml:space="preserve">37 enterprise contracts secured in Q3, 86% driven by Moscow-based engineering teams</w:t>
      </w:r>
    </w:p>
    <w:p>
      <w:pPr>
        <w:numPr>
          <w:ilvl w:val="0"/>
          <w:numId w:val="1001"/>
        </w:numPr>
        <w:pStyle w:val="Compact"/>
      </w:pPr>
      <w:r>
        <w:rPr>
          <w:bCs/>
          <w:b/>
        </w:rPr>
        <w:t xml:space="preserve">Client Retention Rate:</w:t>
      </w:r>
      <w:r>
        <w:t xml:space="preserve"> </w:t>
      </w:r>
      <w:r>
        <w:t xml:space="preserve">92.4%, exceeding national average by 18 points due to specialized technical support from Computer Engineers</w:t>
      </w:r>
    </w:p>
    <w:p>
      <w:pPr>
        <w:pStyle w:val="FirstParagraph"/>
      </w:pPr>
      <w:r>
        <w:t xml:space="preserve">The competitive differentiation lies in our Moscow team's ability to rapidly implement customized solutions—a capability directly attributable to the expertise of our</w:t>
      </w:r>
      <w:r>
        <w:t xml:space="preserve"> </w:t>
      </w:r>
      <w:r>
        <w:rPr>
          <w:bCs/>
          <w:b/>
        </w:rPr>
        <w:t xml:space="preserve">Computer Engineer</w:t>
      </w:r>
      <w:r>
        <w:t xml:space="preserve"> </w:t>
      </w:r>
      <w:r>
        <w:t xml:space="preserve">workforce. In Russia's current market, where 73% of enterprises demand bespoke software integration (per Rosstat Tech Survey Q2 2024), our engineering talent pipeline is the primary sales accelerator.</w:t>
      </w:r>
    </w:p>
    <w:bookmarkEnd w:id="21"/>
    <w:bookmarkStart w:id="22" w:name="X390d64875e1f8136b9d06b0f0b842a638eacaf5"/>
    <w:p>
      <w:pPr>
        <w:pStyle w:val="Heading2"/>
      </w:pPr>
      <w:r>
        <w:t xml:space="preserve">III. Computer Engineer Talent: The Sales Engine</w:t>
      </w:r>
    </w:p>
    <w:p>
      <w:pPr>
        <w:pStyle w:val="FirstParagraph"/>
      </w:pPr>
      <w:r>
        <w:t xml:space="preserve">Our strategic shift toward prioritizing specialized Computer Engineer recruitment has fundamentally transformed our sales cycle in Moscow:</w:t>
      </w:r>
    </w:p>
    <w:p>
      <w:pPr>
        <w:pStyle w:val="BodyText"/>
      </w:pPr>
      <w:r>
        <w:t xml:space="preserve">Talent Focus Area</w:t>
      </w:r>
    </w:p>
    <w:p>
      <w:pPr>
        <w:pStyle w:val="BodyText"/>
      </w:pPr>
      <w:r>
        <w:t xml:space="preserve">Q3 Sales Impact</w:t>
      </w:r>
    </w:p>
    <w:p>
      <w:pPr>
        <w:pStyle w:val="BodyText"/>
      </w:pPr>
      <w:r>
        <w:t xml:space="preserve">% Increase vs Q2 2024</w:t>
      </w:r>
    </w:p>
    <w:p>
      <w:pPr>
        <w:pStyle w:val="BodyText"/>
      </w:pPr>
      <w:r>
        <w:t xml:space="preserve">AI/ML Computer Engineers</w:t>
      </w:r>
    </w:p>
    <w:p>
      <w:pPr>
        <w:pStyle w:val="BodyText"/>
      </w:pPr>
      <w:r>
        <w:t xml:space="preserve">$3.1M new revenue</w:t>
      </w:r>
    </w:p>
    <w:p>
      <w:pPr>
        <w:pStyle w:val="BodyText"/>
      </w:pPr>
      <w:r>
        <w:t xml:space="preserve">44%</w:t>
      </w:r>
    </w:p>
    <w:p>
      <w:pPr>
        <w:pStyle w:val="BodyText"/>
      </w:pPr>
      <w:r>
        <w:t xml:space="preserve">Cybersecurity Specialists (Computer Engineers)</w:t>
      </w:r>
    </w:p>
    <w:p>
      <w:pPr>
        <w:pStyle w:val="BodyText"/>
      </w:pPr>
      <w:r>
        <w:t xml:space="preserve">$2.7M new revenue</w:t>
      </w:r>
    </w:p>
    <w:p>
      <w:pPr>
        <w:pStyle w:val="BodyText"/>
      </w:pPr>
      <w:r>
        <w:t xml:space="preserve">38%</w:t>
      </w:r>
    </w:p>
    <w:p>
      <w:pPr>
        <w:pStyle w:val="BodyText"/>
      </w:pPr>
      <w:r>
        <w:t xml:space="preserve">Cloud Infrastructure Computer Engineers</w:t>
      </w:r>
    </w:p>
    <w:p>
      <w:pPr>
        <w:pStyle w:val="BodyText"/>
      </w:pPr>
      <w:r>
        <w:t xml:space="preserve">$2.9M new revenue</w:t>
      </w:r>
    </w:p>
    <w:p>
      <w:pPr>
        <w:pStyle w:val="BodyText"/>
      </w:pPr>
      <w:r>
        <w:t xml:space="preserve">51%</w:t>
      </w:r>
    </w:p>
    <w:p>
      <w:pPr>
        <w:pStyle w:val="BodyText"/>
      </w:pPr>
      <w:r>
        <w:t xml:space="preserve">Total Computer Engineer-Driven Sales</w:t>
      </w:r>
    </w:p>
    <w:p>
      <w:pPr>
        <w:pStyle w:val="BodyText"/>
      </w:pPr>
      <w:r>
        <w:t xml:space="preserve">$8.7M (61% of Moscow revenue)</w:t>
      </w:r>
    </w:p>
    <w:p>
      <w:pPr>
        <w:pStyle w:val="BodyText"/>
      </w:pPr>
      <w:r>
        <w:t xml:space="preserve">N/A</w:t>
      </w:r>
    </w:p>
    <w:p>
      <w:pPr>
        <w:pStyle w:val="BodyText"/>
      </w:pPr>
      <w:r>
        <w:t xml:space="preserve">These figures validate our investment in Moscow-based Computer Engineer development programs. For instance, our partnership with MIPT (Moscow Institute of Physics and Technology) yielded 27 new hires who collectively contributed to closing 14 enterprise deals exceeding $1.2M in value—proof that specialized Computer Engineer talent directly translates to sales outcomes.</w:t>
      </w:r>
    </w:p>
    <w:bookmarkEnd w:id="22"/>
    <w:bookmarkStart w:id="23" w:name="iv.-moscow-specific-market-dynamics"/>
    <w:p>
      <w:pPr>
        <w:pStyle w:val="Heading2"/>
      </w:pPr>
      <w:r>
        <w:t xml:space="preserve">IV. Moscow-Specific Market Dynamics</w:t>
      </w:r>
    </w:p>
    <w:p>
      <w:pPr>
        <w:pStyle w:val="FirstParagraph"/>
      </w:pPr>
      <w:r>
        <w:t xml:space="preserve">Russia's technology sector operates under unique regulatory and economic conditions where local expertise is non-negotiable:</w:t>
      </w:r>
    </w:p>
    <w:p>
      <w:pPr>
        <w:numPr>
          <w:ilvl w:val="0"/>
          <w:numId w:val="1002"/>
        </w:numPr>
        <w:pStyle w:val="Compact"/>
      </w:pPr>
      <w:r>
        <w:rPr>
          <w:bCs/>
          <w:b/>
        </w:rPr>
        <w:t xml:space="preserve">Localization Requirements:</w:t>
      </w:r>
      <w:r>
        <w:t xml:space="preserve"> </w:t>
      </w:r>
      <w:r>
        <w:t xml:space="preserve">97% of Russian enterprises now mandate domestic technical teams for critical projects—directly impacting Computer Engineer deployment strategies in Moscow.</w:t>
      </w:r>
    </w:p>
    <w:p>
      <w:pPr>
        <w:numPr>
          <w:ilvl w:val="0"/>
          <w:numId w:val="1002"/>
        </w:numPr>
        <w:pStyle w:val="Compact"/>
      </w:pPr>
      <w:r>
        <w:rPr>
          <w:bCs/>
          <w:b/>
        </w:rPr>
        <w:t xml:space="preserve">Competitive Landscape:</w:t>
      </w:r>
      <w:r>
        <w:t xml:space="preserve"> </w:t>
      </w:r>
      <w:r>
        <w:t xml:space="preserve">Local competitors like Yandex and Sberbank have increased Computer Engineer recruitment by 28% this year, forcing us to accelerate our talent pipeline to maintain market share.</w:t>
      </w:r>
    </w:p>
    <w:p>
      <w:pPr>
        <w:numPr>
          <w:ilvl w:val="0"/>
          <w:numId w:val="1002"/>
        </w:numPr>
        <w:pStyle w:val="Compact"/>
      </w:pPr>
      <w:r>
        <w:rPr>
          <w:bCs/>
          <w:b/>
        </w:rPr>
        <w:t xml:space="preserve">Russia's Digital Sovereignty Push:</w:t>
      </w:r>
      <w:r>
        <w:t xml:space="preserve"> </w:t>
      </w:r>
      <w:r>
        <w:t xml:space="preserve">Government initiatives (e.g., "Digital Russia 2030") prioritize local tech development, creating a structural demand for Moscow-based Computer Engineers that directly influences sales contracts.</w:t>
      </w:r>
    </w:p>
    <w:p>
      <w:pPr>
        <w:pStyle w:val="FirstParagraph"/>
      </w:pPr>
      <w:r>
        <w:t xml:space="preserve">This context makes our Moscow Computer Engineer team not just an operational asset but the central pillar of our revenue strategy. Sales teams report that client confidence increases by 64% when engaging with solutions engineered by local professionals—a critical differentiator in Russia's trust-sensitive market.</w:t>
      </w:r>
    </w:p>
    <w:bookmarkEnd w:id="23"/>
    <w:bookmarkStart w:id="24" w:name="v.-challenges-in-russia-moscow-market"/>
    <w:p>
      <w:pPr>
        <w:pStyle w:val="Heading2"/>
      </w:pPr>
      <w:r>
        <w:t xml:space="preserve">V. Challenges in Russia Moscow Market</w:t>
      </w:r>
    </w:p>
    <w:p>
      <w:pPr>
        <w:pStyle w:val="FirstParagraph"/>
      </w:pPr>
      <w:r>
        <w:t xml:space="preserve">Despite strong performance, we face three key challenges affecting Computer Engineer-driven sales:</w:t>
      </w:r>
    </w:p>
    <w:p>
      <w:pPr>
        <w:numPr>
          <w:ilvl w:val="0"/>
          <w:numId w:val="1003"/>
        </w:numPr>
        <w:pStyle w:val="Compact"/>
      </w:pPr>
      <w:r>
        <w:rPr>
          <w:bCs/>
          <w:b/>
        </w:rPr>
        <w:t xml:space="preserve">Talent Acquisition Velocity:</w:t>
      </w:r>
      <w:r>
        <w:t xml:space="preserve"> </w:t>
      </w:r>
      <w:r>
        <w:t xml:space="preserve">The Moscow Computer Engineer talent pool is oversubscribed by 1:3.5 demand ratio (Source: Moscow IT Association Q3 Report), causing average hire-to-deployment cycles to extend from 42 to 67 days.</w:t>
      </w:r>
    </w:p>
    <w:p>
      <w:pPr>
        <w:numPr>
          <w:ilvl w:val="0"/>
          <w:numId w:val="1003"/>
        </w:numPr>
        <w:pStyle w:val="Compact"/>
      </w:pPr>
      <w:r>
        <w:rPr>
          <w:bCs/>
          <w:b/>
        </w:rPr>
        <w:t xml:space="preserve">Competitive Salary Pressures:</w:t>
      </w:r>
      <w:r>
        <w:t xml:space="preserve"> </w:t>
      </w:r>
      <w:r>
        <w:t xml:space="preserve">Top Computer Engineers command salaries up to 42% above national averages in Moscow, creating margin pressure on high-margin service contracts.</w:t>
      </w:r>
    </w:p>
    <w:p>
      <w:pPr>
        <w:numPr>
          <w:ilvl w:val="0"/>
          <w:numId w:val="1003"/>
        </w:numPr>
        <w:pStyle w:val="Compact"/>
      </w:pPr>
      <w:r>
        <w:rPr>
          <w:bCs/>
          <w:b/>
        </w:rPr>
        <w:t xml:space="preserve">Regulatory Complexity:</w:t>
      </w:r>
      <w:r>
        <w:t xml:space="preserve"> </w:t>
      </w:r>
      <w:r>
        <w:t xml:space="preserve">Evolving data localization laws require constant adaptation by our Computer Engineers, demanding additional training that temporarily impacts sales cycle velocity.</w:t>
      </w:r>
    </w:p>
    <w:p>
      <w:pPr>
        <w:pStyle w:val="FirstParagraph"/>
      </w:pPr>
      <w:r>
        <w:t xml:space="preserve">We've mitigated these through our "Moscow Tech Talent Accelerator" program—a 12-month upskilling initiative with Moscow State University—reducing onboarding time by 34% and improving retention by 27%.</w:t>
      </w:r>
    </w:p>
    <w:bookmarkEnd w:id="24"/>
    <w:bookmarkStart w:id="25" w:name="vi.-strategic-outlook-q4-2024-beyond"/>
    <w:p>
      <w:pPr>
        <w:pStyle w:val="Heading2"/>
      </w:pPr>
      <w:r>
        <w:t xml:space="preserve">VI. Strategic Outlook: Q4 2024 &amp; Beyond</w:t>
      </w:r>
    </w:p>
    <w:p>
      <w:pPr>
        <w:pStyle w:val="FirstParagraph"/>
      </w:pPr>
      <w:r>
        <w:t xml:space="preserve">Moscow remains our highest-priority market for Computer Engineer investment, with the following initiatives planned:</w:t>
      </w:r>
    </w:p>
    <w:p>
      <w:pPr>
        <w:numPr>
          <w:ilvl w:val="0"/>
          <w:numId w:val="1004"/>
        </w:numPr>
        <w:pStyle w:val="Compact"/>
      </w:pPr>
      <w:r>
        <w:rPr>
          <w:bCs/>
          <w:b/>
        </w:rPr>
        <w:t xml:space="preserve">Expanded Recruitment:</w:t>
      </w:r>
      <w:r>
        <w:t xml:space="preserve"> </w:t>
      </w:r>
      <w:r>
        <w:t xml:space="preserve">Targeting 35 new Computer Engineer hires in Moscow by Q1 2025, focused on AI and quantum computing specialization</w:t>
      </w:r>
    </w:p>
    <w:p>
      <w:pPr>
        <w:numPr>
          <w:ilvl w:val="0"/>
          <w:numId w:val="1004"/>
        </w:numPr>
        <w:pStyle w:val="Compact"/>
      </w:pPr>
      <w:r>
        <w:rPr>
          <w:bCs/>
          <w:b/>
        </w:rPr>
        <w:t xml:space="preserve">Client Education Program:</w:t>
      </w:r>
      <w:r>
        <w:t xml:space="preserve"> </w:t>
      </w:r>
      <w:r>
        <w:t xml:space="preserve">Launching "Tech Partnership Workshops" led by senior Moscow Computer Engineers to convert leads into sales (projected $2.8M incremental revenue)</w:t>
      </w:r>
    </w:p>
    <w:p>
      <w:pPr>
        <w:numPr>
          <w:ilvl w:val="0"/>
          <w:numId w:val="1004"/>
        </w:numPr>
        <w:pStyle w:val="Compact"/>
      </w:pPr>
      <w:r>
        <w:rPr>
          <w:bCs/>
          <w:b/>
        </w:rPr>
        <w:t xml:space="preserve">Talent Retention Strategy:</w:t>
      </w:r>
      <w:r>
        <w:t xml:space="preserve"> </w:t>
      </w:r>
      <w:r>
        <w:t xml:space="preserve">Implementing equity grants for top Computer Engineers to combat attrition in Russia's competitive market</w:t>
      </w:r>
    </w:p>
    <w:p>
      <w:pPr>
        <w:pStyle w:val="FirstParagraph"/>
      </w:pPr>
      <w:r>
        <w:t xml:space="preserve">These initiatives are projected to increase Moscow Computer Engineer-driven sales by 23% in Q4 2024, directly supporting our company-wide revenue target of $58M for 2024. The data is unequivocal: In Russia's technology market, the value proposition of the</w:t>
      </w:r>
      <w:r>
        <w:t xml:space="preserve"> </w:t>
      </w:r>
      <w:r>
        <w:rPr>
          <w:bCs/>
          <w:b/>
        </w:rPr>
        <w:t xml:space="preserve">Computer Engineer</w:t>
      </w:r>
      <w:r>
        <w:t xml:space="preserve"> </w:t>
      </w:r>
      <w:r>
        <w:t xml:space="preserve">is not just technical—it's fundamentally a sales differentiator that defines our competitive position in Moscow and across Russia.</w:t>
      </w:r>
    </w:p>
    <w:bookmarkEnd w:id="25"/>
    <w:bookmarkStart w:id="26" w:name="vii.-conclusion"/>
    <w:p>
      <w:pPr>
        <w:pStyle w:val="Heading2"/>
      </w:pPr>
      <w:r>
        <w:t xml:space="preserve">VII. Conclusion</w:t>
      </w:r>
    </w:p>
    <w:p>
      <w:pPr>
        <w:pStyle w:val="FirstParagraph"/>
      </w:pPr>
      <w:r>
        <w:t xml:space="preserve">This report confirms that Computer Engineers are not merely technical staff but our primary revenue generators within the Russia Moscow market. Their specialized skills directly enable client acquisition, retention, and premium pricing—particularly critical in today's regulatory environment. As we navigate Russia's digital transformation, sustained investment in Moscow-based Computer Engineer talent will be the cornerstone of our sales strategy for 2025 and beyond. The market demands local expertise; our data proves that when we deliver it through skilled Computer Engineers, sales success follows.</w:t>
      </w:r>
    </w:p>
    <w:p>
      <w:pPr>
        <w:pStyle w:val="BodyText"/>
      </w:pPr>
      <w:r>
        <w:rPr>
          <w:bCs/>
          <w:b/>
        </w:rPr>
        <w:t xml:space="preserve">Prepared By:</w:t>
      </w:r>
      <w:r>
        <w:t xml:space="preserve"> </w:t>
      </w:r>
      <w:r>
        <w:t xml:space="preserve">Elena Petrova, Head of Sales Strategy &amp; Technology Development</w:t>
      </w:r>
      <w:r>
        <w:br/>
      </w:r>
      <w:r>
        <w:rPr>
          <w:bCs/>
          <w:b/>
        </w:rPr>
        <w:t xml:space="preserve">Department:</w:t>
      </w:r>
      <w:r>
        <w:t xml:space="preserve"> </w:t>
      </w:r>
      <w:r>
        <w:t xml:space="preserve">Russia-Moscow Regional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Talent Impact on Moscow Market Performance</dc:title>
  <dc:creator/>
  <dc:language>en</dc:language>
  <cp:keywords/>
  <dcterms:created xsi:type="dcterms:W3CDTF">2026-07-20T04:36:54Z</dcterms:created>
  <dcterms:modified xsi:type="dcterms:W3CDTF">2026-07-20T04:36:54Z</dcterms:modified>
</cp:coreProperties>
</file>

<file path=docProps/custom.xml><?xml version="1.0" encoding="utf-8"?>
<Properties xmlns="http://schemas.openxmlformats.org/officeDocument/2006/custom-properties" xmlns:vt="http://schemas.openxmlformats.org/officeDocument/2006/docPropsVTypes"/>
</file>