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Spain</w:t>
      </w:r>
      <w:r>
        <w:t xml:space="preserve"> </w:t>
      </w:r>
      <w:r>
        <w:t xml:space="preserve">Madrid</w:t>
      </w:r>
    </w:p>
    <w:bookmarkStart w:id="27" w:name="Xdef3a28e28a069d144f4c74739f66a3bbfd9341"/>
    <w:p>
      <w:pPr>
        <w:pStyle w:val="Heading1"/>
      </w:pPr>
      <w:r>
        <w:t xml:space="preserve">Q3 2024 Sales Performance Report: Strategic Growth of Computer Engineer Solutions in Spain Madrid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Spain Madrid Regional Office</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The Q3 performance for our Computer Engineer sales division in Spain Madrid demonstrates exceptional growth trajectory, exceeding regional targets by 18% and capturing significant market share within Madrid's burgeoning technology ecosystem. This success stems directly from the specialized expertise of our Computer Engineers who bridge technical complexity with client business needs—a critical differentiator in the highly competitive Spain Madrid tech landscape. With Madrid serving as the innovation hub for 68% of Spain's tech startups (according to</w:t>
      </w:r>
      <w:r>
        <w:t xml:space="preserve"> </w:t>
      </w:r>
      <w:r>
        <w:rPr>
          <w:iCs/>
          <w:i/>
        </w:rPr>
        <w:t xml:space="preserve">Spain Tech Report 2024</w:t>
      </w:r>
      <w:r>
        <w:t xml:space="preserve">), our targeted approach leveraging Computer Engineer sales capabilities has positioned us as a preferred partner for enterprise digital transformation.</w:t>
      </w:r>
    </w:p>
    <w:bookmarkEnd w:id="20"/>
    <w:bookmarkStart w:id="21" w:name="X1d731a48cf2857dcff9974761f7f2e7e454715d"/>
    <w:p>
      <w:pPr>
        <w:pStyle w:val="Heading2"/>
      </w:pPr>
      <w:r>
        <w:t xml:space="preserve">II. Market Context: Spain Madrid Technology Ecosystem</w:t>
      </w:r>
    </w:p>
    <w:p>
      <w:pPr>
        <w:pStyle w:val="FirstParagraph"/>
      </w:pPr>
      <w:r>
        <w:t xml:space="preserve">Madrid's position as Spain's primary technology and business capital is undeniable, hosting over 340 international tech headquarters and the majority of the nation's R&amp;D centers. The city's digital economy contributes €62 billion annually to the regional GDP, with key sectors including fintech (Banco Santander, Nubank), cybersecurity (Telefónica Cybersecurity), and AI-driven solutions (CVC Capital Partners' Madrid AI Hub). This environment demands sales professionals who understand both technical architecture and business value—precisely where our Computer Engineers deliver unparalleled results. Unlike traditional sales roles, our Computer Engineers speak the language of CTOs at Madrid-based enterprises like</w:t>
      </w:r>
      <w:r>
        <w:t xml:space="preserve"> </w:t>
      </w:r>
      <w:r>
        <w:rPr>
          <w:iCs/>
          <w:i/>
        </w:rPr>
        <w:t xml:space="preserve">Indra Sistemas</w:t>
      </w:r>
      <w:r>
        <w:t xml:space="preserve"> </w:t>
      </w:r>
      <w:r>
        <w:t xml:space="preserve">and</w:t>
      </w:r>
      <w:r>
        <w:t xml:space="preserve"> </w:t>
      </w:r>
      <w:r>
        <w:rPr>
          <w:iCs/>
          <w:i/>
        </w:rPr>
        <w:t xml:space="preserve">Etre Digital</w:t>
      </w:r>
      <w:r>
        <w:t xml:space="preserve">, translating complex solutions into tangible ROI metrics aligned with Madrid's business culture.</w:t>
      </w:r>
    </w:p>
    <w:bookmarkEnd w:id="21"/>
    <w:bookmarkStart w:id="22" w:name="Xc1146b70a76318de80e80deeec101af90cb37df"/>
    <w:p>
      <w:pPr>
        <w:pStyle w:val="Heading2"/>
      </w:pPr>
      <w:r>
        <w:t xml:space="preserve">III. Sales Performance Highlights (Q3 2024)</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Total Closed Deals (Spain Madrid)</w:t>
      </w:r>
    </w:p>
    <w:p>
      <w:pPr>
        <w:pStyle w:val="BodyText"/>
      </w:pPr>
      <w:r>
        <w:t xml:space="preserve">42</w:t>
      </w:r>
    </w:p>
    <w:p>
      <w:pPr>
        <w:pStyle w:val="BodyText"/>
      </w:pPr>
      <w:r>
        <w:t xml:space="preserve">50</w:t>
      </w:r>
    </w:p>
    <w:p>
      <w:pPr>
        <w:pStyle w:val="BodyText"/>
      </w:pPr>
      <w:r>
        <w:t xml:space="preserve">+19%</w:t>
      </w:r>
    </w:p>
    <w:p>
      <w:pPr>
        <w:pStyle w:val="BodyText"/>
      </w:pPr>
      <w:r>
        <w:t xml:space="preserve">Average Deal Size (€)</w:t>
      </w:r>
    </w:p>
    <w:p>
      <w:pPr>
        <w:pStyle w:val="BodyText"/>
      </w:pPr>
      <w:r>
        <w:t xml:space="preserve">135,000</w:t>
      </w:r>
    </w:p>
    <w:p>
      <w:pPr>
        <w:pStyle w:val="BodyText"/>
      </w:pPr>
      <w:r>
        <w:t xml:space="preserve">168,500</w:t>
      </w:r>
    </w:p>
    <w:p>
      <w:pPr>
        <w:pStyle w:val="BodyText"/>
      </w:pPr>
      <w:r>
        <w:t xml:space="preserve">+24.8%</w:t>
      </w:r>
    </w:p>
    <w:p>
      <w:pPr>
        <w:pStyle w:val="BodyText"/>
      </w:pPr>
      <w:r>
        <w:t xml:space="preserve">Client Retention Rate (Madrid)</w:t>
      </w:r>
    </w:p>
    <w:p>
      <w:pPr>
        <w:pStyle w:val="BodyText"/>
      </w:pPr>
      <w:r>
        <w:t xml:space="preserve">85%</w:t>
      </w:r>
    </w:p>
    <w:p>
      <w:pPr>
        <w:pStyle w:val="BodyText"/>
      </w:pPr>
      <w:r>
        <w:t xml:space="preserve">93%</w:t>
      </w:r>
    </w:p>
    <w:p>
      <w:pPr>
        <w:pStyle w:val="BodyText"/>
      </w:pPr>
      <w:r>
        <w:t xml:space="preserve">+8%</w:t>
      </w:r>
    </w:p>
    <w:p>
      <w:pPr>
        <w:pStyle w:val="BodyText"/>
      </w:pPr>
      <w:r>
        <w:t xml:space="preserve">Conversion Rate (Lead to Deal)</w:t>
      </w:r>
    </w:p>
    <w:p>
      <w:pPr>
        <w:pStyle w:val="BodyText"/>
      </w:pPr>
      <w:r>
        <w:t xml:space="preserve">22%</w:t>
      </w:r>
    </w:p>
    <w:p>
      <w:pPr>
        <w:pStyle w:val="BodyText"/>
      </w:pPr>
      <w:r>
        <w:t xml:space="preserve">34.5%</w:t>
      </w:r>
    </w:p>
    <w:p>
      <w:pPr>
        <w:pStyle w:val="BodyText"/>
      </w:pPr>
      <w:r>
        <w:t xml:space="preserve">+56.8%</w:t>
      </w:r>
    </w:p>
    <w:p>
      <w:pPr>
        <w:pStyle w:val="BodyText"/>
      </w:pPr>
      <w:r>
        <w:rPr>
          <w:bCs/>
          <w:b/>
        </w:rPr>
        <w:t xml:space="preserve">Key Growth Drivers:</w:t>
      </w:r>
    </w:p>
    <w:p>
      <w:pPr>
        <w:numPr>
          <w:ilvl w:val="0"/>
          <w:numId w:val="1001"/>
        </w:numPr>
        <w:pStyle w:val="Compact"/>
      </w:pPr>
      <w:r>
        <w:rPr>
          <w:bCs/>
          <w:b/>
        </w:rPr>
        <w:t xml:space="preserve">Technical Consultative Selling:</w:t>
      </w:r>
      <w:r>
        <w:t xml:space="preserve"> </w:t>
      </w:r>
      <w:r>
        <w:t xml:space="preserve">Computer Engineers secured 76% of deals by conducting architecture reviews with Madrid enterprise IT departments, addressing specific pain points like legacy system integration at companies such as MAPFRE and ACS Group.</w:t>
      </w:r>
    </w:p>
    <w:p>
      <w:pPr>
        <w:numPr>
          <w:ilvl w:val="0"/>
          <w:numId w:val="1001"/>
        </w:numPr>
        <w:pStyle w:val="Compact"/>
      </w:pPr>
      <w:r>
        <w:rPr>
          <w:bCs/>
          <w:b/>
        </w:rPr>
        <w:t xml:space="preserve">GDPR Compliance Expertise:</w:t>
      </w:r>
      <w:r>
        <w:t xml:space="preserve"> </w:t>
      </w:r>
      <w:r>
        <w:t xml:space="preserve">Positioned as critical differentiators for Madrid-based clients managing sensitive data, with 100% of new contracts including our Computer Engineers' compliance frameworks.</w:t>
      </w:r>
    </w:p>
    <w:p>
      <w:pPr>
        <w:numPr>
          <w:ilvl w:val="0"/>
          <w:numId w:val="1001"/>
        </w:numPr>
        <w:pStyle w:val="Compact"/>
      </w:pPr>
      <w:r>
        <w:rPr>
          <w:bCs/>
          <w:b/>
        </w:rPr>
        <w:t xml:space="preserve">Strategic Partnerships:</w:t>
      </w:r>
      <w:r>
        <w:t xml:space="preserve"> </w:t>
      </w:r>
      <w:r>
        <w:t xml:space="preserve">Collaborated with Madrid's tech incubators (Canal 30, Tech Space) to access high-potential startups seeking enterprise-grade solutions.</w:t>
      </w:r>
    </w:p>
    <w:bookmarkEnd w:id="22"/>
    <w:bookmarkStart w:id="23" w:name="X64c79736a5f71ff9d615304778a401c4a6539d5"/>
    <w:p>
      <w:pPr>
        <w:pStyle w:val="Heading2"/>
      </w:pPr>
      <w:r>
        <w:t xml:space="preserve">IV. Regional Market Analysis: Spain Madrid Focus</w:t>
      </w:r>
    </w:p>
    <w:p>
      <w:pPr>
        <w:pStyle w:val="FirstParagraph"/>
      </w:pPr>
      <w:r>
        <w:t xml:space="preserve">The Spain Madrid market presents unique opportunities for Computer Engineer-led sales strategies. Recent data from the Spanish Ministry of Industry shows a 41% YoY increase in demand for AI and cloud transformation services within the region—a sector where our Computer Engineers have achieved 3x higher conversion rates than standard sales teams. Madrid's business culture values technical credibility; 89% of enterprise buyers prioritize vendors with engineering expertise during solution evaluations (Madrid Chamber of Commerce Survey, Q2 2024).</w:t>
      </w:r>
    </w:p>
    <w:p>
      <w:pPr>
        <w:pStyle w:val="BodyText"/>
      </w:pPr>
      <w:r>
        <w:t xml:space="preserve">Notably, the</w:t>
      </w:r>
      <w:r>
        <w:t xml:space="preserve"> </w:t>
      </w:r>
      <w:r>
        <w:rPr>
          <w:iCs/>
          <w:i/>
        </w:rPr>
        <w:t xml:space="preserve">Barrio de Salamanca</w:t>
      </w:r>
      <w:r>
        <w:t xml:space="preserve"> </w:t>
      </w:r>
      <w:r>
        <w:t xml:space="preserve">and</w:t>
      </w:r>
      <w:r>
        <w:t xml:space="preserve"> </w:t>
      </w:r>
      <w:r>
        <w:rPr>
          <w:iCs/>
          <w:i/>
        </w:rPr>
        <w:t xml:space="preserve">Chamartín</w:t>
      </w:r>
      <w:r>
        <w:t xml:space="preserve"> </w:t>
      </w:r>
      <w:r>
        <w:t xml:space="preserve">business districts reported the strongest performance for our Computer Engineer sales team, with a 37% increase in enterprise deals compared to Q2. This aligns with Madrid's concentration of Fortune 500 subsidiaries and financial institutions requiring complex IT infrastructure solutions. The proximity to Madrid's main tech corridors (like the</w:t>
      </w:r>
      <w:r>
        <w:t xml:space="preserve"> </w:t>
      </w:r>
      <w:r>
        <w:rPr>
          <w:iCs/>
          <w:i/>
        </w:rPr>
        <w:t xml:space="preserve">Madrid Tech Hub</w:t>
      </w:r>
      <w:r>
        <w:t xml:space="preserve"> </w:t>
      </w:r>
      <w:r>
        <w:t xml:space="preserve">near Avenida de la Paz) has also streamlined client meetings, with our Computer Engineers reducing sales cycle time by 22 days through technical pre-qualification of leads.</w:t>
      </w:r>
    </w:p>
    <w:bookmarkEnd w:id="23"/>
    <w:bookmarkStart w:id="24" w:name="v.-challenges-and-strategic-responses"/>
    <w:p>
      <w:pPr>
        <w:pStyle w:val="Heading2"/>
      </w:pPr>
      <w:r>
        <w:t xml:space="preserve">V. Challenges and Strategic Responses</w:t>
      </w:r>
    </w:p>
    <w:p>
      <w:pPr>
        <w:pStyle w:val="FirstParagraph"/>
      </w:pPr>
      <w:r>
        <w:rPr>
          <w:bCs/>
          <w:b/>
        </w:rPr>
        <w:t xml:space="preserve">Challenge:</w:t>
      </w:r>
      <w:r>
        <w:t xml:space="preserve"> </w:t>
      </w:r>
      <w:r>
        <w:t xml:space="preserve">Rising competition from local Spanish tech vendors (e.g., T-Systems Spain) offering lower-priced solutions without engineering depth.</w:t>
      </w:r>
      <w:r>
        <w:br/>
      </w:r>
      <w:r>
        <w:rPr>
          <w:bCs/>
          <w:b/>
        </w:rPr>
        <w:t xml:space="preserve">Response:</w:t>
      </w:r>
      <w:r>
        <w:t xml:space="preserve"> </w:t>
      </w:r>
      <w:r>
        <w:t xml:space="preserve">Our Computer Engineers implemented value-based pricing narratives emphasizing total cost of ownership, resulting in 83% of new contracts exceeding €100k. The team also secured partnerships with Universidad Politécnica de Madrid to certify our engineers on Spain-specific regulations.</w:t>
      </w:r>
    </w:p>
    <w:p>
      <w:pPr>
        <w:pStyle w:val="BodyText"/>
      </w:pPr>
      <w:r>
        <w:rPr>
          <w:bCs/>
          <w:b/>
        </w:rPr>
        <w:t xml:space="preserve">Challenge:</w:t>
      </w:r>
      <w:r>
        <w:t xml:space="preserve"> </w:t>
      </w:r>
      <w:r>
        <w:t xml:space="preserve">Client hesitation around implementation timelines during Madrid's traditional summer shutdown period (July-August).</w:t>
      </w:r>
      <w:r>
        <w:br/>
      </w:r>
      <w:r>
        <w:rPr>
          <w:bCs/>
          <w:b/>
        </w:rPr>
        <w:t xml:space="preserve">Response:</w:t>
      </w:r>
      <w:r>
        <w:t xml:space="preserve"> </w:t>
      </w:r>
      <w:r>
        <w:t xml:space="preserve">Computer Engineers developed phased deployment frameworks tailored to Spanish business cycles, securing 12 Q3 deals with August implementation dates and achieving 95% on-time delivery.</w:t>
      </w:r>
    </w:p>
    <w:bookmarkEnd w:id="24"/>
    <w:bookmarkStart w:id="25" w:name="vi.-opportunities-for-q4-2024"/>
    <w:p>
      <w:pPr>
        <w:pStyle w:val="Heading2"/>
      </w:pPr>
      <w:r>
        <w:t xml:space="preserve">VI. Opportunities for Q4 2024</w:t>
      </w:r>
    </w:p>
    <w:p>
      <w:pPr>
        <w:pStyle w:val="FirstParagraph"/>
      </w:pPr>
      <w:r>
        <w:t xml:space="preserve">Based on Madrid's upcoming initiatives, we identify three high-potential opportunities:</w:t>
      </w:r>
    </w:p>
    <w:p>
      <w:pPr>
        <w:numPr>
          <w:ilvl w:val="0"/>
          <w:numId w:val="1002"/>
        </w:numPr>
        <w:pStyle w:val="Compact"/>
      </w:pPr>
      <w:r>
        <w:rPr>
          <w:bCs/>
          <w:b/>
        </w:rPr>
        <w:t xml:space="preserve">Public Sector Digitalization:</w:t>
      </w:r>
      <w:r>
        <w:t xml:space="preserve"> </w:t>
      </w:r>
      <w:r>
        <w:t xml:space="preserve">Madrid City Council's €185M smart city initiative (launching Q4) requires specialized Computer Engineers to navigate municipal procurement processes. We've already initiated RFP responses for urban mobility solutions.</w:t>
      </w:r>
    </w:p>
    <w:p>
      <w:pPr>
        <w:numPr>
          <w:ilvl w:val="0"/>
          <w:numId w:val="1002"/>
        </w:numPr>
        <w:pStyle w:val="Compact"/>
      </w:pPr>
      <w:r>
        <w:rPr>
          <w:bCs/>
          <w:b/>
        </w:rPr>
        <w:t xml:space="preserve">ESG Compliance Solutions:</w:t>
      </w:r>
      <w:r>
        <w:t xml:space="preserve"> </w:t>
      </w:r>
      <w:r>
        <w:t xml:space="preserve">With Spain's new Corporate Sustainability Reporting Directive (CSRD) impacting 600+ Madrid-based companies, our Computer Engineers are developing carbon footprint tracking modules integrated into existing enterprise systems.</w:t>
      </w:r>
    </w:p>
    <w:p>
      <w:pPr>
        <w:numPr>
          <w:ilvl w:val="0"/>
          <w:numId w:val="1002"/>
        </w:numPr>
        <w:pStyle w:val="Compact"/>
      </w:pPr>
      <w:r>
        <w:rPr>
          <w:bCs/>
          <w:b/>
        </w:rPr>
        <w:t xml:space="preserve">SME Technology Adoption:</w:t>
      </w:r>
      <w:r>
        <w:t xml:space="preserve"> </w:t>
      </w:r>
      <w:r>
        <w:t xml:space="preserve">Partnering with Madrid Chamber of Commerce to offer subsidized Computer Engineer consultations for small businesses, targeting the 43% of local SMEs still using legacy systems (INE Data).</w:t>
      </w:r>
    </w:p>
    <w:bookmarkEnd w:id="25"/>
    <w:bookmarkStart w:id="26" w:name="vii.-conclusion"/>
    <w:p>
      <w:pPr>
        <w:pStyle w:val="Heading2"/>
      </w:pPr>
      <w:r>
        <w:t xml:space="preserve">VII. Conclusion</w:t>
      </w:r>
    </w:p>
    <w:p>
      <w:pPr>
        <w:pStyle w:val="FirstParagraph"/>
      </w:pPr>
      <w:r>
        <w:t xml:space="preserve">The Q3 results unequivocally validate our strategy of embedding Computer Engineers within sales teams specifically for the Spain Madrid market. Their technical authority has transformed sales conversations from feature-based pitches to solution-driven partnerships, directly addressing the region's demand for trustworthy technology advisors. As Madrid continues to solidify its position as Europe's fastest-growing tech hub—with projections of 14% growth in IT services by 2025—our Computer Engineers are positioned as the indispensable catalyst for sustained market leadership. We project Q4 revenue growth of 27% driven by these specialized sales capabilities, with Madrid contributing 65% of our total Spain pipeline.</w:t>
      </w:r>
    </w:p>
    <w:p>
      <w:pPr>
        <w:pStyle w:val="BodyText"/>
      </w:pPr>
      <w:r>
        <w:rPr>
          <w:bCs/>
          <w:b/>
        </w:rPr>
        <w:t xml:space="preserve">Recommendation:</w:t>
      </w:r>
      <w:r>
        <w:t xml:space="preserve"> </w:t>
      </w:r>
      <w:r>
        <w:t xml:space="preserve">Allocate additional budget to expand the Computer Engineer sales team in Madrid by 30% (from 12 to 16 professionals) and establish a dedicated "Madrid Tech Advisory Council" to co-develop solutions with local enterprise leaders. This investment will secure our competitive position as Spain's most trusted technical sales partner for Madrid-based innovation.</w:t>
      </w:r>
    </w:p>
    <w:p>
      <w:pPr>
        <w:pStyle w:val="BodyText"/>
      </w:pPr>
      <w:r>
        <w:rPr>
          <w:iCs/>
          <w:i/>
        </w:rPr>
        <w:t xml:space="preserve">Prepared by: Global Sales Strategy Team</w:t>
      </w:r>
      <w:r>
        <w:br/>
      </w:r>
      <w:r>
        <w:rPr>
          <w:iCs/>
          <w:i/>
        </w:rPr>
        <w:t xml:space="preserve">Approved By: Regional Director, Spain Madrid</w:t>
      </w:r>
    </w:p>
    <w:p>
      <w:pPr>
        <w:pStyle w:val="BodyText"/>
      </w:pPr>
      <w:r>
        <w:t xml:space="preserve">Note: All sales figures reflect revenue from Computer Engineer-led deals within the Madrid metropolitan area (including Móstoles, Leganés, and Alcobendas). GDPR compliance metrics adhere to Spain's</w:t>
      </w:r>
      <w:r>
        <w:t xml:space="preserve"> </w:t>
      </w:r>
      <w:r>
        <w:rPr>
          <w:iCs/>
          <w:i/>
        </w:rPr>
        <w:t xml:space="preserve">Ley Orgánica de Protección de Datos</w:t>
      </w:r>
      <w:r>
        <w:t xml:space="preserve"> </w:t>
      </w:r>
      <w:r>
        <w:t xml:space="preserve">and</w:t>
      </w:r>
      <w:r>
        <w:t xml:space="preserve"> </w:t>
      </w:r>
      <w:r>
        <w:rPr>
          <w:iCs/>
          <w:i/>
        </w:rPr>
        <w:t xml:space="preserve">Reglamento General de Protección de Datos (RGPD)</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Computer Engineer Solutions in Spain Madrid</dc:title>
  <dc:creator/>
  <dc:language>en</dc:language>
  <cp:keywords/>
  <dcterms:created xsi:type="dcterms:W3CDTF">2026-07-13T15:56:06Z</dcterms:created>
  <dcterms:modified xsi:type="dcterms:W3CDTF">2026-07-13T15:56:06Z</dcterms:modified>
</cp:coreProperties>
</file>

<file path=docProps/custom.xml><?xml version="1.0" encoding="utf-8"?>
<Properties xmlns="http://schemas.openxmlformats.org/officeDocument/2006/custom-properties" xmlns:vt="http://schemas.openxmlformats.org/officeDocument/2006/docPropsVTypes"/>
</file>