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9b413373e5bd8ce82421a88d0d9c1958df5fbb"/>
    <w:p>
      <w:pPr>
        <w:pStyle w:val="Heading1"/>
      </w:pPr>
      <w:r>
        <w:t xml:space="preserve">Q3 2024 Sales Performance Report: Computer Engineer Solutions for the United Kingdom London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TechSolutions Ltd.</w:t>
      </w:r>
      <w:r>
        <w:br/>
      </w:r>
      <w:r>
        <w:rPr>
          <w:bCs/>
          <w:b/>
        </w:rPr>
        <w:t xml:space="preserve">Region Covered:</w:t>
      </w:r>
      <w:r>
        <w:t xml:space="preserve"> </w:t>
      </w:r>
      <w:r>
        <w:t xml:space="preserve">United Kingdom London (Greater London Area)</w:t>
      </w:r>
    </w:p>
    <w:bookmarkStart w:id="20" w:name="executive-summary"/>
    <w:p>
      <w:pPr>
        <w:pStyle w:val="Heading2"/>
      </w:pPr>
      <w:r>
        <w:t xml:space="preserve">Executive Summary</w:t>
      </w:r>
    </w:p>
    <w:p>
      <w:pPr>
        <w:pStyle w:val="FirstParagraph"/>
      </w:pPr>
      <w:r>
        <w:t xml:space="preserve">This Sales Report details the performance of Computer Engineer services across the United Kingdom London metropolitan region during Q3 2024. The market continues to demonstrate robust growth, driven by digital transformation initiatives within financial institutions, government agencies, and enterprise sectors concentrated in Central London. Our sales team achieved a 18.7% YoY increase in Computer Engineer service engagements, significantly outperforming the regional average of 12.3%. Key success factors included tailored solutions for London-based regulatory compliance needs (particularly under the UK's National Cyber Strategy) and strategic partnerships with major employers across Canary Wharf and Tech City.</w:t>
      </w:r>
    </w:p>
    <w:bookmarkEnd w:id="20"/>
    <w:bookmarkStart w:id="21" w:name="market-context-united-kingdom-london"/>
    <w:p>
      <w:pPr>
        <w:pStyle w:val="Heading2"/>
      </w:pPr>
      <w:r>
        <w:t xml:space="preserve">Market Context: United Kingdom London</w:t>
      </w:r>
    </w:p>
    <w:p>
      <w:pPr>
        <w:pStyle w:val="FirstParagraph"/>
      </w:pPr>
      <w:r>
        <w:t xml:space="preserve">London remains the undisputed tech hub of the United Kingdom, accounting for over 35% of all UK tech sector revenue. The city hosts headquarters for 75% of FTSE 100 companies and is home to an estimated 46,000+ technology firms. Recent government initiatives like "Tech Nation's London Growth Accelerator" have further cemented the region's position as a global innovation center. Crucially, the demand for specialized Computer Engineers has surged by 22% YoY in London, primarily driven by:</w:t>
      </w:r>
    </w:p>
    <w:p>
      <w:pPr>
        <w:numPr>
          <w:ilvl w:val="0"/>
          <w:numId w:val="1001"/>
        </w:numPr>
        <w:pStyle w:val="Compact"/>
      </w:pPr>
      <w:r>
        <w:t xml:space="preserve">Post-Brexit regulatory compliance requirements</w:t>
      </w:r>
    </w:p>
    <w:p>
      <w:pPr>
        <w:numPr>
          <w:ilvl w:val="0"/>
          <w:numId w:val="1001"/>
        </w:numPr>
        <w:pStyle w:val="Compact"/>
      </w:pPr>
      <w:r>
        <w:t xml:space="preserve">Expansion of cloud infrastructure (AWS/GCP/Azure) across London's financial district</w:t>
      </w:r>
    </w:p>
    <w:p>
      <w:pPr>
        <w:numPr>
          <w:ilvl w:val="0"/>
          <w:numId w:val="1001"/>
        </w:numPr>
        <w:pStyle w:val="Compact"/>
      </w:pPr>
      <w:r>
        <w:t xml:space="preserve">Rising cybersecurity threats targeting UK critical infrastructure (per National Cyber Force reports)</w:t>
      </w:r>
    </w:p>
    <w:p>
      <w:pPr>
        <w:numPr>
          <w:ilvl w:val="0"/>
          <w:numId w:val="1001"/>
        </w:numPr>
        <w:pStyle w:val="Compact"/>
      </w:pPr>
      <w:r>
        <w:t xml:space="preserve">AI integration mandates from City of London Corporation for financial services firms</w:t>
      </w:r>
    </w:p>
    <w:bookmarkEnd w:id="21"/>
    <w:bookmarkStart w:id="22" w:name="Xd2050cf2269e79e3a414c3f4b4bdcd594607814"/>
    <w:p>
      <w:pPr>
        <w:pStyle w:val="Heading2"/>
      </w:pPr>
      <w:r>
        <w:t xml:space="preserve">Sales Performance Highlights: Computer Engineer Services</w:t>
      </w:r>
    </w:p>
    <w:p>
      <w:pPr>
        <w:pStyle w:val="FirstParagraph"/>
      </w:pPr>
      <w:r>
        <w:t xml:space="preserve">Our Computer Engineer service portfolio – encompassing cloud architecture, cybersecurity implementation, AI/ML system development, and legacy modernization – delivered exceptional results.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2024 Revenue (GBP)</w:t>
            </w:r>
          </w:p>
        </w:tc>
        <w:tc>
          <w:tcPr/>
          <w:p>
            <w:pPr>
              <w:pStyle w:val="Compact"/>
              <w:jc w:val="left"/>
            </w:pPr>
            <w:r>
              <w:t xml:space="preserve">% Change YoY</w:t>
            </w:r>
          </w:p>
        </w:tc>
        <w:tc>
          <w:tcPr/>
          <w:p>
            <w:pPr>
              <w:pStyle w:val="Compact"/>
              <w:jc w:val="left"/>
            </w:pPr>
            <w:r>
              <w:t xml:space="preserve">London Market Share Gain</w:t>
            </w:r>
          </w:p>
        </w:tc>
      </w:tr>
      <w:tr>
        <w:tc>
          <w:tcPr/>
          <w:p>
            <w:pPr>
              <w:pStyle w:val="Compact"/>
              <w:jc w:val="left"/>
            </w:pPr>
            <w:r>
              <w:t xml:space="preserve">Cloud Infrastructure Engineering (AWS/Azure)</w:t>
            </w:r>
          </w:p>
        </w:tc>
        <w:tc>
          <w:tcPr/>
          <w:p>
            <w:pPr>
              <w:pStyle w:val="Compact"/>
              <w:jc w:val="left"/>
            </w:pPr>
            <w:r>
              <w:t xml:space="preserve">£1,845,000</w:t>
            </w:r>
          </w:p>
        </w:tc>
        <w:tc>
          <w:tcPr/>
          <w:p>
            <w:pPr>
              <w:pStyle w:val="Compact"/>
              <w:jc w:val="left"/>
            </w:pPr>
            <w:r>
              <w:t xml:space="preserve">+24.3%</w:t>
            </w:r>
          </w:p>
        </w:tc>
        <w:tc>
          <w:tcPr/>
          <w:p>
            <w:pPr>
              <w:pStyle w:val="Compact"/>
              <w:jc w:val="left"/>
            </w:pPr>
            <w:r>
              <w:t xml:space="preserve">+6.1%</w:t>
            </w:r>
          </w:p>
        </w:tc>
      </w:tr>
      <w:tr>
        <w:tc>
          <w:tcPr/>
          <w:p>
            <w:pPr>
              <w:pStyle w:val="Compact"/>
              <w:jc w:val="left"/>
            </w:pPr>
            <w:r>
              <w:t xml:space="preserve">Cybersecurity Implementation (NIS2 Directive Compliance)</w:t>
            </w:r>
          </w:p>
        </w:tc>
        <w:tc>
          <w:tcPr/>
          <w:p>
            <w:pPr>
              <w:pStyle w:val="Compact"/>
              <w:jc w:val="left"/>
            </w:pPr>
            <w:r>
              <w:t xml:space="preserve">£987,500</w:t>
            </w:r>
          </w:p>
        </w:tc>
        <w:tc>
          <w:tcPr/>
          <w:p>
            <w:pPr>
              <w:pStyle w:val="Compact"/>
              <w:jc w:val="left"/>
            </w:pPr>
            <w:r>
              <w:t xml:space="preserve">+31.8%</w:t>
            </w:r>
          </w:p>
        </w:tc>
        <w:tc>
          <w:tcPr/>
          <w:p>
            <w:pPr>
              <w:pStyle w:val="Compact"/>
              <w:jc w:val="left"/>
            </w:pPr>
            <w:r>
              <w:t xml:space="preserve">+8.7%</w:t>
            </w:r>
          </w:p>
        </w:tc>
      </w:tr>
      <w:tr>
        <w:tc>
          <w:tcPr/>
          <w:p>
            <w:pPr>
              <w:pStyle w:val="Compact"/>
              <w:jc w:val="left"/>
            </w:pPr>
            <w:r>
              <w:t xml:space="preserve">AI/ML System Development for Financial Services</w:t>
            </w:r>
          </w:p>
        </w:tc>
        <w:tc>
          <w:tcPr/>
          <w:p>
            <w:pPr>
              <w:pStyle w:val="Compact"/>
              <w:jc w:val="left"/>
            </w:pPr>
            <w:r>
              <w:t xml:space="preserve">£1,263,000</w:t>
            </w:r>
          </w:p>
        </w:tc>
        <w:tc>
          <w:tcPr/>
          <w:p>
            <w:pPr>
              <w:pStyle w:val="Compact"/>
              <w:jc w:val="left"/>
            </w:pPr>
            <w:r>
              <w:t xml:space="preserve">+19.5%</w:t>
            </w:r>
          </w:p>
        </w:tc>
        <w:tc>
          <w:tcPr/>
          <w:p>
            <w:pPr>
              <w:pStyle w:val="Compact"/>
              <w:jc w:val="left"/>
            </w:pPr>
            <w:r>
              <w:t xml:space="preserve">+4.2%</w:t>
            </w:r>
          </w:p>
        </w:tc>
      </w:tr>
      <w:tr>
        <w:tc>
          <w:tcPr/>
          <w:p>
            <w:pPr>
              <w:pStyle w:val="Compact"/>
              <w:jc w:val="left"/>
            </w:pPr>
            <w:r>
              <w:t xml:space="preserve">Legacy System Modernization (London Government Contracts)</w:t>
            </w:r>
          </w:p>
        </w:tc>
        <w:tc>
          <w:tcPr/>
          <w:p>
            <w:pPr>
              <w:pStyle w:val="Compact"/>
              <w:jc w:val="left"/>
            </w:pPr>
            <w:r>
              <w:t xml:space="preserve">£742,800</w:t>
            </w:r>
          </w:p>
        </w:tc>
        <w:tc>
          <w:tcPr/>
          <w:p>
            <w:pPr>
              <w:pStyle w:val="Compact"/>
              <w:jc w:val="left"/>
            </w:pPr>
            <w:r>
              <w:t xml:space="preserve">+15.6%</w:t>
            </w:r>
          </w:p>
        </w:tc>
        <w:tc>
          <w:tcPr/>
          <w:p>
            <w:pPr>
              <w:pStyle w:val="Compact"/>
              <w:jc w:val="left"/>
            </w:pPr>
            <w:r>
              <w:t xml:space="preserve">+3.9%</w:t>
            </w:r>
          </w:p>
        </w:tc>
      </w:tr>
      <w:tr>
        <w:tc>
          <w:tcPr/>
          <w:p>
            <w:pPr>
              <w:pStyle w:val="Compact"/>
              <w:jc w:val="left"/>
            </w:pPr>
            <w:r>
              <w:rPr>
                <w:bCs/>
                <w:b/>
              </w:rPr>
              <w:t xml:space="preserve">Total Computer Engineer Services Revenue</w:t>
            </w:r>
          </w:p>
        </w:tc>
        <w:tc>
          <w:tcPr/>
          <w:p>
            <w:pPr>
              <w:pStyle w:val="Compact"/>
              <w:jc w:val="left"/>
            </w:pPr>
            <w:r>
              <w:rPr>
                <w:bCs/>
                <w:b/>
              </w:rPr>
              <w:t xml:space="preserve">£4,838,300</w:t>
            </w:r>
          </w:p>
        </w:tc>
        <w:tc>
          <w:tcPr/>
          <w:p>
            <w:pPr>
              <w:pStyle w:val="Compact"/>
              <w:jc w:val="left"/>
            </w:pPr>
            <w:r>
              <w:rPr>
                <w:bCs/>
                <w:b/>
              </w:rPr>
              <w:t xml:space="preserve">+22.1%</w:t>
            </w:r>
          </w:p>
        </w:tc>
        <w:tc>
          <w:tcPr/>
          <w:p>
            <w:pPr>
              <w:pStyle w:val="Compact"/>
              <w:jc w:val="left"/>
            </w:pPr>
            <w:r>
              <w:rPr>
                <w:bCs/>
                <w:b/>
              </w:rPr>
              <w:t xml:space="preserve">+6.5%</w:t>
            </w:r>
          </w:p>
        </w:tc>
      </w:tr>
    </w:tbl>
    <w:p>
      <w:pPr>
        <w:pStyle w:val="BodyText"/>
      </w:pPr>
      <w:r>
        <w:t xml:space="preserve">The significant growth in Cybersecurity Implementation revenue reflects the critical urgency of NIS Directive compliance across London's financial institutions, including major banks headquartered in the City and Canary Wharf. Our Computer Engineers have developed specialized frameworks for UK-specific data residency requirements, directly addressing a key pain point for clients.</w:t>
      </w:r>
    </w:p>
    <w:bookmarkEnd w:id="22"/>
    <w:bookmarkStart w:id="23" w:name="X6c1bf7fd944cb41f04d8e24a70b974b4df000ee"/>
    <w:p>
      <w:pPr>
        <w:pStyle w:val="Heading2"/>
      </w:pPr>
      <w:r>
        <w:t xml:space="preserve">Key Client Acquisition: United Kingdom London Focus</w:t>
      </w:r>
    </w:p>
    <w:p>
      <w:pPr>
        <w:pStyle w:val="FirstParagraph"/>
      </w:pPr>
      <w:r>
        <w:t xml:space="preserve">Q3 saw pivotal wins with three major London-based entities:</w:t>
      </w:r>
    </w:p>
    <w:p>
      <w:pPr>
        <w:numPr>
          <w:ilvl w:val="0"/>
          <w:numId w:val="1002"/>
        </w:numPr>
        <w:pStyle w:val="Compact"/>
      </w:pPr>
      <w:r>
        <w:rPr>
          <w:bCs/>
          <w:b/>
        </w:rPr>
        <w:t xml:space="preserve">Barclays PLC (Canary Wharf):</w:t>
      </w:r>
      <w:r>
        <w:t xml:space="preserve"> </w:t>
      </w:r>
      <w:r>
        <w:t xml:space="preserve">£650k contract for AI-driven fraud detection system modernization. Our Computer Engineers delivered a 30% faster transaction analysis pipeline, meeting the Bank of England's new AML requirements.</w:t>
      </w:r>
    </w:p>
    <w:p>
      <w:pPr>
        <w:numPr>
          <w:ilvl w:val="0"/>
          <w:numId w:val="1002"/>
        </w:numPr>
        <w:pStyle w:val="Compact"/>
      </w:pPr>
      <w:r>
        <w:rPr>
          <w:bCs/>
          <w:b/>
        </w:rPr>
        <w:t xml:space="preserve">London Borough of Hackney:</w:t>
      </w:r>
      <w:r>
        <w:t xml:space="preserve"> </w:t>
      </w:r>
      <w:r>
        <w:t xml:space="preserve">£285k project to overhaul public service digital platforms under the UK Government's "Digital for Good" initiative. This contract secured our position as a preferred vendor for London local government.</w:t>
      </w:r>
    </w:p>
    <w:p>
      <w:pPr>
        <w:numPr>
          <w:ilvl w:val="0"/>
          <w:numId w:val="1002"/>
        </w:numPr>
        <w:pStyle w:val="Compact"/>
      </w:pPr>
      <w:r>
        <w:rPr>
          <w:bCs/>
          <w:b/>
        </w:rPr>
        <w:t xml:space="preserve">Deloitte UK (London HQ):</w:t>
      </w:r>
      <w:r>
        <w:t xml:space="preserve"> </w:t>
      </w:r>
      <w:r>
        <w:t xml:space="preserve">£410k retainer for ongoing cloud infrastructure optimization across their London offices, leveraging our Computer Engineers' expertise in hybrid cloud compliance within the UK regulatory framework.</w:t>
      </w:r>
    </w:p>
    <w:bookmarkEnd w:id="23"/>
    <w:bookmarkStart w:id="24" w:name="X1c1bd1ea3e4b6e14147213325950d415c10ff84"/>
    <w:p>
      <w:pPr>
        <w:pStyle w:val="Heading2"/>
      </w:pPr>
      <w:r>
        <w:t xml:space="preserve">Competitive Landscape in United Kingdom London</w:t>
      </w:r>
    </w:p>
    <w:p>
      <w:pPr>
        <w:pStyle w:val="FirstParagraph"/>
      </w:pPr>
      <w:r>
        <w:t xml:space="preserve">The competitive environment in London remains intense but increasingly differentiated. While global firms like Accenture and Capgemini dominate large enterprise deals, our agility and deep understanding of local regulatory nuances have given us a distinct advantage for mid-market Computer Engineer engagements. Notably, 78% of our new Q3 clients were acquired through referrals from existing London-based technology partners – highlighting the importance of local network in the United Kingdom London market.</w:t>
      </w:r>
    </w:p>
    <w:bookmarkEnd w:id="24"/>
    <w:bookmarkStart w:id="25" w:name="challenges-and-strategic-response"/>
    <w:p>
      <w:pPr>
        <w:pStyle w:val="Heading2"/>
      </w:pPr>
      <w:r>
        <w:t xml:space="preserve">Challenges and Strategic Response</w:t>
      </w:r>
    </w:p>
    <w:p>
      <w:pPr>
        <w:pStyle w:val="FirstParagraph"/>
      </w:pPr>
      <w:r>
        <w:t xml:space="preserve">Two primary challenges emerged:</w:t>
      </w:r>
    </w:p>
    <w:p>
      <w:pPr>
        <w:numPr>
          <w:ilvl w:val="0"/>
          <w:numId w:val="1003"/>
        </w:numPr>
        <w:pStyle w:val="Compact"/>
      </w:pPr>
      <w:r>
        <w:rPr>
          <w:bCs/>
          <w:b/>
        </w:rPr>
        <w:t xml:space="preserve">Talent Acquisition:</w:t>
      </w:r>
      <w:r>
        <w:t xml:space="preserve"> </w:t>
      </w:r>
      <w:r>
        <w:t xml:space="preserve">Competition for qualified Computer Engineers in London has intensified, driving salary expectations up 14% YoY. Our response included expanding our apprenticeship program with City of London College and establishing a dedicated recruitment hub within the Tech City cluster.</w:t>
      </w:r>
    </w:p>
    <w:p>
      <w:pPr>
        <w:numPr>
          <w:ilvl w:val="0"/>
          <w:numId w:val="1003"/>
        </w:numPr>
        <w:pStyle w:val="Compact"/>
      </w:pPr>
      <w:r>
        <w:rPr>
          <w:bCs/>
          <w:b/>
        </w:rPr>
        <w:t xml:space="preserve">Regulatory Complexity:</w:t>
      </w:r>
      <w:r>
        <w:t xml:space="preserve"> </w:t>
      </w:r>
      <w:r>
        <w:t xml:space="preserve">Navigating the evolving UK data protection landscape (post-UK GDPR) required specialized Computer Engineer skill sets. We developed an internal "UK Regulatory Compliance Certification" for our engineering teams, directly addressing client concerns.</w:t>
      </w:r>
    </w:p>
    <w:bookmarkEnd w:id="25"/>
    <w:bookmarkStart w:id="26" w:name="future-outlook-q4-2024-and-beyond"/>
    <w:p>
      <w:pPr>
        <w:pStyle w:val="Heading2"/>
      </w:pPr>
      <w:r>
        <w:t xml:space="preserve">Future Outlook: Q4 2024 and Beyond</w:t>
      </w:r>
    </w:p>
    <w:p>
      <w:pPr>
        <w:pStyle w:val="FirstParagraph"/>
      </w:pPr>
      <w:r>
        <w:t xml:space="preserve">The trajectory for Computer Engineer services in the United Kingdom London market remains exceptionally strong. We project a minimum 15% growth in service revenue for Q4, driven by:</w:t>
      </w:r>
    </w:p>
    <w:p>
      <w:pPr>
        <w:numPr>
          <w:ilvl w:val="0"/>
          <w:numId w:val="1004"/>
        </w:numPr>
        <w:pStyle w:val="Compact"/>
      </w:pPr>
      <w:r>
        <w:t xml:space="preserve">Increased government spending on national digital infrastructure (Cabinet Office Digital Strategy)</w:t>
      </w:r>
    </w:p>
    <w:p>
      <w:pPr>
        <w:numPr>
          <w:ilvl w:val="0"/>
          <w:numId w:val="1004"/>
        </w:numPr>
        <w:pStyle w:val="Compact"/>
      </w:pPr>
      <w:r>
        <w:t xml:space="preserve">Upcoming deadlines for UK General Data Protection Regulation (UK GDPR) updates</w:t>
      </w:r>
    </w:p>
    <w:p>
      <w:pPr>
        <w:numPr>
          <w:ilvl w:val="0"/>
          <w:numId w:val="1004"/>
        </w:numPr>
        <w:pStyle w:val="Compact"/>
      </w:pPr>
      <w:r>
        <w:t xml:space="preserve">Expansion of AI Ethics frameworks mandated by the UK AI Safety Institute, based in London</w:t>
      </w:r>
    </w:p>
    <w:p>
      <w:pPr>
        <w:pStyle w:val="FirstParagraph"/>
      </w:pPr>
      <w:r>
        <w:t xml:space="preserve">We recommend doubling down on our London-specific value proposition: embedding Computer Engineers within client teams across key sectors (Finance, Public Sector, Healthcare). This "on-site engineering" model has proven to reduce implementation time by 25% compared to remote delivery and is now a standard offering in our London sales pitch.</w:t>
      </w:r>
    </w:p>
    <w:bookmarkEnd w:id="26"/>
    <w:bookmarkStart w:id="27" w:name="conclusion"/>
    <w:p>
      <w:pPr>
        <w:pStyle w:val="Heading2"/>
      </w:pPr>
      <w:r>
        <w:t xml:space="preserve">Conclusion</w:t>
      </w:r>
    </w:p>
    <w:p>
      <w:pPr>
        <w:pStyle w:val="FirstParagraph"/>
      </w:pPr>
      <w:r>
        <w:t xml:space="preserve">The Q3 2024 Sales Report confirms that Computer Engineer services are not merely a revenue stream but the strategic engine driving TechSolutions' growth within the United Kingdom London market. The unique demands of this global city – its regulatory environment, financial centrality, and innovation density – require specialized engineering expertise that we have successfully delivered. Our ability to connect our Computer Engineers' technical capabilities with London's specific business challenges has positioned us for sustained market leadership. As the United Kingdom continues to cement its role as a post-Brexit tech innovator, the value of locally attuned Computer Engineering talent in London will only increase.</w:t>
      </w:r>
    </w:p>
    <w:p>
      <w:pPr>
        <w:pStyle w:val="BodyText"/>
      </w:pPr>
      <w:r>
        <w:rPr>
          <w:bCs/>
          <w:b/>
        </w:rPr>
        <w:t xml:space="preserve">Prepared By:</w:t>
      </w:r>
      <w:r>
        <w:t xml:space="preserve"> </w:t>
      </w:r>
      <w:r>
        <w:t xml:space="preserve">Sarah Chen, Director of Sales &amp; Strategy</w:t>
      </w:r>
      <w:r>
        <w:br/>
      </w:r>
      <w:r>
        <w:rPr>
          <w:bCs/>
          <w:b/>
        </w:rPr>
        <w:t xml:space="preserve">Company:</w:t>
      </w:r>
      <w:r>
        <w:t xml:space="preserve"> </w:t>
      </w:r>
      <w:r>
        <w:t xml:space="preserve">TechSolutions Ltd.</w:t>
      </w:r>
      <w:r>
        <w:br/>
      </w:r>
      <w:r>
        <w:rPr>
          <w:bCs/>
          <w:b/>
        </w:rPr>
        <w:t xml:space="preserve">Contact:</w:t>
      </w:r>
      <w:r>
        <w:t xml:space="preserve"> </w:t>
      </w:r>
      <w:r>
        <w:t xml:space="preserve">sarah.chen@techsolutions.co.uk | +44 20 7946 0123</w:t>
      </w:r>
    </w:p>
    <w:p>
      <w:pPr>
        <w:pStyle w:val="BodyText"/>
      </w:pPr>
      <w:r>
        <w:rPr>
          <w:iCs/>
          <w:i/>
        </w:rPr>
        <w:t xml:space="preserve">This report covers activities within the United Kingdom London metro area, including boroughs of Westminster, City of London, Hackney, Islington, and Southwark. Data sourced from internal CRM (Q3 sales) and Tech Nation London Tech Report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Services in United Kingdom London</dc:title>
  <dc:creator/>
  <dc:language>en</dc:language>
  <cp:keywords/>
  <dcterms:created xsi:type="dcterms:W3CDTF">2026-07-23T17:11:42Z</dcterms:created>
  <dcterms:modified xsi:type="dcterms:W3CDTF">2026-07-23T17:11:42Z</dcterms:modified>
</cp:coreProperties>
</file>

<file path=docProps/custom.xml><?xml version="1.0" encoding="utf-8"?>
<Properties xmlns="http://schemas.openxmlformats.org/officeDocument/2006/custom-properties" xmlns:vt="http://schemas.openxmlformats.org/officeDocument/2006/docPropsVTypes"/>
</file>