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Los</w:t>
      </w:r>
      <w:r>
        <w:t xml:space="preserve"> </w:t>
      </w:r>
      <w:r>
        <w:t xml:space="preserve">Angeles</w:t>
      </w:r>
      <w:r>
        <w:t xml:space="preserve"> </w:t>
      </w:r>
      <w:r>
        <w:t xml:space="preserve">Computer</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2024</w:t>
      </w:r>
    </w:p>
    <w:bookmarkStart w:id="27" w:name="X9c90369414cbac53d483c75bca1ad9b3d5ddcb5"/>
    <w:p>
      <w:pPr>
        <w:pStyle w:val="Heading1"/>
      </w:pPr>
      <w:r>
        <w:t xml:space="preserve">Quarterly Sales Performance Report: Computer Engineer Solutions in United States Los Angeles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Team, West Coast Operations</w:t>
      </w:r>
      <w:r>
        <w:br/>
      </w:r>
      <w:r>
        <w:rPr>
          <w:bCs/>
          <w:b/>
        </w:rPr>
        <w:t xml:space="preserve">Prepared By:</w:t>
      </w:r>
      <w:r>
        <w:t xml:space="preserve"> </w:t>
      </w:r>
      <w:r>
        <w:t xml:space="preserve">Regional Sales Analytics Division</w:t>
      </w:r>
    </w:p>
    <w:bookmarkStart w:id="20" w:name="i.-executive-summary"/>
    <w:p>
      <w:pPr>
        <w:pStyle w:val="Heading2"/>
      </w:pPr>
      <w:r>
        <w:t xml:space="preserve">I. Executive Summary</w:t>
      </w:r>
    </w:p>
    <w:p>
      <w:pPr>
        <w:pStyle w:val="FirstParagraph"/>
      </w:pPr>
      <w:r>
        <w:t xml:space="preserve">This report details the Q3 2024 sales performance metrics for Computer Engineer solutions across the United States Los Angeles metropolitan area. As technology continues to reshape business operations in Southern California, our Computer Engineer-led sales initiatives generated a remarkable 18% year-over-year revenue growth, significantly outperforming national averages. The Los Angeles market demonstrated exceptional demand for specialized engineering talent integration, particularly in AI infrastructure development and cybersecurity solutions. Notably, the Los Angeles region contributed 34% of total U.S. revenue from Computer Engineer services in Q3, underscoring its strategic importance to our national sales strategy.</w:t>
      </w:r>
    </w:p>
    <w:bookmarkEnd w:id="20"/>
    <w:bookmarkStart w:id="21" w:name="X8d0accedb8ba2c62ade37841d389f9a03fbcac8"/>
    <w:p>
      <w:pPr>
        <w:pStyle w:val="Heading2"/>
      </w:pPr>
      <w:r>
        <w:t xml:space="preserve">II. Market Context: Los Angeles as a Technology Sales Hub</w:t>
      </w:r>
    </w:p>
    <w:p>
      <w:pPr>
        <w:pStyle w:val="FirstParagraph"/>
      </w:pPr>
      <w:r>
        <w:t xml:space="preserve">United States Los Angeles has evolved into one of the nation's most dynamic technology ecosystems outside Silicon Valley. With over 40,000 tech companies operating in the metro area—including major players like Tesla (San Pedro), Netflix (Los Gatos), and Snap Inc. (Santa Monica)—the demand for skilled Computer Engineers has reached unprecedented levels. Our sales data reveals that 78% of enterprise clients in Los Angeles now prioritize engineering-led solutions over traditional IT outsourcing, recognizing the strategic value of Computer Engineer expertise in driving digital transformation.</w:t>
      </w:r>
    </w:p>
    <w:p>
      <w:pPr>
        <w:pStyle w:val="BodyText"/>
      </w:pPr>
      <w:r>
        <w:t xml:space="preserve">The unique cultural and economic landscape of Los Angeles—blending entertainment technology, aerospace innovation, and emerging AI startups—creates a distinct market requiring specialized sales approaches. Computer Engineers in our Los Angeles team have successfully adapted by understanding local industry pain points: streaming platform scalability for media companies, autonomous vehicle infrastructure for automotive firms, and cloud migration for healthcare institutions across the region.</w:t>
      </w:r>
    </w:p>
    <w:bookmarkEnd w:id="21"/>
    <w:bookmarkStart w:id="22" w:name="Xc1146b70a76318de80e80deeec101af90cb37df"/>
    <w:p>
      <w:pPr>
        <w:pStyle w:val="Heading2"/>
      </w:pPr>
      <w:r>
        <w:t xml:space="preserve">III. Sales Performance Highlights (Q3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Los Angeles Q3 2024</w:t>
            </w:r>
          </w:p>
        </w:tc>
        <w:tc>
          <w:tcPr/>
          <w:p>
            <w:pPr>
              <w:pStyle w:val="Compact"/>
              <w:jc w:val="left"/>
            </w:pPr>
            <w:r>
              <w:t xml:space="preserve">National Average Q3 2024</w:t>
            </w:r>
          </w:p>
        </w:tc>
        <w:tc>
          <w:tcPr/>
          <w:p>
            <w:pPr>
              <w:pStyle w:val="Compact"/>
              <w:jc w:val="left"/>
            </w:pPr>
            <w:r>
              <w:t xml:space="preserve">Variance</w:t>
            </w:r>
          </w:p>
        </w:tc>
      </w:tr>
      <w:tr>
        <w:tc>
          <w:tcPr/>
          <w:p>
            <w:pPr>
              <w:pStyle w:val="Compact"/>
              <w:jc w:val="left"/>
            </w:pPr>
            <w:r>
              <w:t xml:space="preserve">Average Deal Size ($)</w:t>
            </w:r>
          </w:p>
        </w:tc>
        <w:tc>
          <w:tcPr/>
          <w:p>
            <w:pPr>
              <w:pStyle w:val="Compact"/>
              <w:jc w:val="left"/>
            </w:pPr>
            <w:r>
              <w:t xml:space="preserve">187,500</w:t>
            </w:r>
          </w:p>
        </w:tc>
        <w:tc>
          <w:tcPr/>
          <w:p>
            <w:pPr>
              <w:pStyle w:val="Compact"/>
              <w:jc w:val="left"/>
            </w:pPr>
            <w:r>
              <w:t xml:space="preserve">142,300</w:t>
            </w:r>
          </w:p>
        </w:tc>
        <w:tc>
          <w:tcPr/>
          <w:p>
            <w:pPr>
              <w:pStyle w:val="Compact"/>
              <w:jc w:val="left"/>
            </w:pPr>
            <w:r>
              <w:t xml:space="preserve">+31.7%</w:t>
            </w:r>
          </w:p>
        </w:tc>
      </w:tr>
      <w:tr>
        <w:tc>
          <w:tcPr/>
          <w:p>
            <w:pPr>
              <w:pStyle w:val="Compact"/>
              <w:jc w:val="left"/>
            </w:pPr>
            <w:r>
              <w:t xml:space="preserve">Client Acquisition Rate (New Clients)</w:t>
            </w:r>
          </w:p>
        </w:tc>
        <w:tc>
          <w:tcPr/>
          <w:p>
            <w:pPr>
              <w:pStyle w:val="Compact"/>
              <w:jc w:val="left"/>
            </w:pPr>
            <w:r>
              <w:t xml:space="preserve">28.6%</w:t>
            </w:r>
          </w:p>
        </w:tc>
        <w:tc>
          <w:tcPr/>
          <w:p>
            <w:pPr>
              <w:pStyle w:val="Compact"/>
              <w:jc w:val="left"/>
            </w:pPr>
            <w:r>
              <w:t xml:space="preserve">19.4%</w:t>
            </w:r>
          </w:p>
        </w:tc>
        <w:tc>
          <w:tcPr/>
          <w:p>
            <w:pPr>
              <w:pStyle w:val="Compact"/>
              <w:jc w:val="left"/>
            </w:pPr>
            <w:r>
              <w:t xml:space="preserve">+49.5%</w:t>
            </w:r>
          </w:p>
        </w:tc>
      </w:tr>
      <w:tr>
        <w:tc>
          <w:tcPr/>
          <w:p>
            <w:pPr>
              <w:pStyle w:val="Compact"/>
              <w:jc w:val="left"/>
            </w:pPr>
            <w:r>
              <w:t xml:space="preserve">Sales Cycle Duration (Days)</w:t>
            </w:r>
          </w:p>
        </w:tc>
        <w:tc>
          <w:tcPr/>
          <w:p>
            <w:pPr>
              <w:pStyle w:val="Compact"/>
              <w:jc w:val="left"/>
            </w:pPr>
            <w:r>
              <w:t xml:space="preserve">47</w:t>
            </w:r>
          </w:p>
        </w:tc>
        <w:tc>
          <w:tcPr/>
          <w:p>
            <w:pPr>
              <w:pStyle w:val="Compact"/>
              <w:jc w:val="left"/>
            </w:pPr>
            <w:r>
              <w:t xml:space="preserve">62</w:t>
            </w:r>
          </w:p>
        </w:tc>
        <w:tc>
          <w:tcPr/>
          <w:p>
            <w:pPr>
              <w:pStyle w:val="Compact"/>
              <w:jc w:val="left"/>
            </w:pPr>
            <w:r>
              <w:t xml:space="preserve">-24.2%</w:t>
            </w:r>
          </w:p>
        </w:tc>
      </w:tr>
      <w:tr>
        <w:tc>
          <w:tcPr/>
          <w:p>
            <w:pPr>
              <w:pStyle w:val="Compact"/>
              <w:jc w:val="left"/>
            </w:pPr>
            <w:r>
              <w:t xml:space="preserve">Client Retention Rate (%)</w:t>
            </w:r>
          </w:p>
        </w:tc>
        <w:tc>
          <w:tcPr/>
          <w:p>
            <w:pPr>
              <w:pStyle w:val="Compact"/>
              <w:jc w:val="left"/>
            </w:pPr>
            <w:r>
              <w:t xml:space="preserve">93.1%</w:t>
            </w:r>
          </w:p>
        </w:tc>
        <w:tc>
          <w:tcPr/>
          <w:p>
            <w:pPr>
              <w:pStyle w:val="Compact"/>
              <w:jc w:val="left"/>
            </w:pPr>
            <w:r>
              <w:t xml:space="preserve">85.7%</w:t>
            </w:r>
          </w:p>
        </w:tc>
        <w:tc>
          <w:tcPr/>
          <w:p>
            <w:pPr>
              <w:pStyle w:val="Compact"/>
              <w:jc w:val="left"/>
            </w:pPr>
            <w:r>
              <w:t xml:space="preserve">+8.4 percentage points</w:t>
            </w:r>
          </w:p>
        </w:tc>
      </w:tr>
    </w:tbl>
    <w:p>
      <w:pPr>
        <w:pStyle w:val="BodyText"/>
      </w:pPr>
      <w:r>
        <w:t xml:space="preserve">The Los Angeles team's success stems from Computer Engineers who serve as technical sales consultants—bridging the gap between complex engineering solutions and business outcomes. In Q3, our Computer Engineers closed 12 strategic accounts with Fortune 500 companies based in Los Angeles, including a landmark $4.2M contract with a major entertainment conglomerate for AI-powered content recommendation infrastructure.</w:t>
      </w:r>
    </w:p>
    <w:bookmarkEnd w:id="22"/>
    <w:bookmarkStart w:id="23" w:name="Xfabd562a74b136ad3170e89d10c72024f21844d"/>
    <w:p>
      <w:pPr>
        <w:pStyle w:val="Heading2"/>
      </w:pPr>
      <w:r>
        <w:t xml:space="preserve">IV. Key Growth Drivers in United States Los Angeles</w:t>
      </w:r>
    </w:p>
    <w:p>
      <w:pPr>
        <w:pStyle w:val="FirstParagraph"/>
      </w:pPr>
      <w:r>
        <w:rPr>
          <w:bCs/>
          <w:b/>
        </w:rPr>
        <w:t xml:space="preserve">1. Industry-Specific Engineering Solutions:</w:t>
      </w:r>
      <w:r>
        <w:t xml:space="preserve"> </w:t>
      </w:r>
      <w:r>
        <w:t xml:space="preserve">Computer Engineers developed specialized sales pitches targeting LA's unique sectors. For example, our engineering team created a "Streaming Platform Scalability Package" that directly addressed the capacity challenges faced by local media companies during high-traffic events like award shows.</w:t>
      </w:r>
    </w:p>
    <w:p>
      <w:pPr>
        <w:pStyle w:val="BodyText"/>
      </w:pPr>
      <w:r>
        <w:rPr>
          <w:bCs/>
          <w:b/>
        </w:rPr>
        <w:t xml:space="preserve">2. Local Talent Partnerships:</w:t>
      </w:r>
      <w:r>
        <w:t xml:space="preserve"> </w:t>
      </w:r>
      <w:r>
        <w:t xml:space="preserve">Strategic collaborations with UCLA Engineering and USC Viterbi School of Engineering have established an exclusive talent pipeline for Computer Engineers in Los Angeles. This initiative reduced our technical sales recruitment cycle by 37% and ensured our field engineers possessed deep local market knowledge.</w:t>
      </w:r>
    </w:p>
    <w:p>
      <w:pPr>
        <w:pStyle w:val="BodyText"/>
      </w:pPr>
      <w:r>
        <w:rPr>
          <w:bCs/>
          <w:b/>
        </w:rPr>
        <w:t xml:space="preserve">3. Government Technology Initiatives:</w:t>
      </w:r>
      <w:r>
        <w:t xml:space="preserve"> </w:t>
      </w:r>
      <w:r>
        <w:t xml:space="preserve">The City of Los Angeles' $200M Smart City Infrastructure Project created significant demand for Computer Engineers skilled in IoT and urban analytics. Our Los Angeles team secured three major subcontracts under this initiative, demonstrating how public sector projects drive private technology sales.</w:t>
      </w:r>
    </w:p>
    <w:bookmarkEnd w:id="23"/>
    <w:bookmarkStart w:id="24" w:name="Xfa471ca9ad4184ab8cb83dcfb1e4adfa8a19b88"/>
    <w:p>
      <w:pPr>
        <w:pStyle w:val="Heading2"/>
      </w:pPr>
      <w:r>
        <w:t xml:space="preserve">V. Challenges and Strategic Recommendations</w:t>
      </w:r>
    </w:p>
    <w:p>
      <w:pPr>
        <w:pStyle w:val="FirstParagraph"/>
      </w:pPr>
      <w:r>
        <w:t xml:space="preserve">Despite strong performance, several challenges require strategic attention to maintain growth momentum in the United States Los Angeles market:</w:t>
      </w:r>
    </w:p>
    <w:p>
      <w:pPr>
        <w:numPr>
          <w:ilvl w:val="0"/>
          <w:numId w:val="1001"/>
        </w:numPr>
        <w:pStyle w:val="Compact"/>
      </w:pPr>
      <w:r>
        <w:rPr>
          <w:bCs/>
          <w:b/>
        </w:rPr>
        <w:t xml:space="preserve">Talent Retention Pressure:</w:t>
      </w:r>
      <w:r>
        <w:t xml:space="preserve"> </w:t>
      </w:r>
      <w:r>
        <w:t xml:space="preserve">68% of Computer Engineers reported considering relocation due to rising LA cost of living. Recommendation: Implement a regional "Engineering Excellence Bonus" tied to local market retention.</w:t>
      </w:r>
    </w:p>
    <w:p>
      <w:pPr>
        <w:numPr>
          <w:ilvl w:val="0"/>
          <w:numId w:val="1001"/>
        </w:numPr>
        <w:pStyle w:val="Compact"/>
      </w:pPr>
      <w:r>
        <w:rPr>
          <w:bCs/>
          <w:b/>
        </w:rPr>
        <w:t xml:space="preserve">Competitive Landscape:</w:t>
      </w:r>
      <w:r>
        <w:t xml:space="preserve"> </w:t>
      </w:r>
      <w:r>
        <w:t xml:space="preserve">Rival firms aggressively poaching LA-based Computer Engineers with 20-25% salary premiums. Recommendation: Establish a localized compensation framework benchmarked against LA tech market data (not national averages).</w:t>
      </w:r>
    </w:p>
    <w:p>
      <w:pPr>
        <w:numPr>
          <w:ilvl w:val="0"/>
          <w:numId w:val="1001"/>
        </w:numPr>
        <w:pStyle w:val="Compact"/>
      </w:pPr>
      <w:r>
        <w:rPr>
          <w:bCs/>
          <w:b/>
        </w:rPr>
        <w:t xml:space="preserve">Sector Diversification Gap:</w:t>
      </w:r>
      <w:r>
        <w:t xml:space="preserve"> </w:t>
      </w:r>
      <w:r>
        <w:t xml:space="preserve">Over-reliance on media/entertainment clients (65% of revenue). Recommendation: Launch targeted sales campaigns for LA-based healthcare technology providers, leveraging our Computer Engineers' expertise in HIPAA-compliant systems.</w:t>
      </w:r>
    </w:p>
    <w:bookmarkEnd w:id="24"/>
    <w:bookmarkStart w:id="25" w:name="vi.-strategic-outlook-for-q4-2024"/>
    <w:p>
      <w:pPr>
        <w:pStyle w:val="Heading2"/>
      </w:pPr>
      <w:r>
        <w:t xml:space="preserve">VI. Strategic Outlook for Q4 2024</w:t>
      </w:r>
    </w:p>
    <w:p>
      <w:pPr>
        <w:pStyle w:val="FirstParagraph"/>
      </w:pPr>
      <w:r>
        <w:t xml:space="preserve">The Los Angeles market presents extraordinary opportunity with the upcoming LA Tech Week (November 15-19) and continued expansion of the city's AI cluster. We project that Computer Engineer-led sales will drive 37% of our total U.S. revenue growth in Q4, primarily through:</w:t>
      </w:r>
    </w:p>
    <w:p>
      <w:pPr>
        <w:numPr>
          <w:ilvl w:val="0"/>
          <w:numId w:val="1002"/>
        </w:numPr>
        <w:pStyle w:val="Compact"/>
      </w:pPr>
      <w:r>
        <w:t xml:space="preserve">Expansion into Los Angeles' burgeoning quantum computing sector</w:t>
      </w:r>
    </w:p>
    <w:p>
      <w:pPr>
        <w:numPr>
          <w:ilvl w:val="0"/>
          <w:numId w:val="1002"/>
        </w:numPr>
        <w:pStyle w:val="Compact"/>
      </w:pPr>
      <w:r>
        <w:t xml:space="preserve">Partnerships with LA Chamber of Commerce for targeted small business technology adoption</w:t>
      </w:r>
    </w:p>
    <w:p>
      <w:pPr>
        <w:numPr>
          <w:ilvl w:val="0"/>
          <w:numId w:val="1002"/>
        </w:numPr>
        <w:pStyle w:val="Compact"/>
      </w:pPr>
      <w:r>
        <w:t xml:space="preserve">Leveraging our Computer Engineer talent network to support the city's new cybersecurity initiative</w:t>
      </w:r>
    </w:p>
    <w:bookmarkEnd w:id="25"/>
    <w:bookmarkStart w:id="26" w:name="vii.-conclusion"/>
    <w:p>
      <w:pPr>
        <w:pStyle w:val="Heading2"/>
      </w:pPr>
      <w:r>
        <w:t xml:space="preserve">VII. Conclusion</w:t>
      </w:r>
    </w:p>
    <w:p>
      <w:pPr>
        <w:pStyle w:val="FirstParagraph"/>
      </w:pPr>
      <w:r>
        <w:t xml:space="preserve">The United States Los Angeles market has cemented its position as a critical sales engine for Computer Engineer services across all industry verticals. Our team's ability to translate engineering expertise into measurable business outcomes—coupled with hyper-local market understanding—has created a sustainable competitive advantage. As the Los Angeles technology ecosystem continues its rapid expansion, Computer Engineers are no longer just technical staff but strategic revenue drivers.</w:t>
      </w:r>
    </w:p>
    <w:p>
      <w:pPr>
        <w:pStyle w:val="BodyText"/>
      </w:pPr>
      <w:r>
        <w:t xml:space="preserve">For continued success in this dynamic market, we recommend doubling down on our "Engineering Sales" model: empowering Computer Engineers with sales training, local market intelligence tools, and customized compensation that reflects the high-value nature of their contributions to Los Angeles' $150B technology economy. The future of technology sales isn't just about selling products—it's about selling expertise through highly skilled Computer Engineers who understand the unique pulse of United States Los Angeles.</w:t>
      </w:r>
    </w:p>
    <w:p>
      <w:pPr>
        <w:pStyle w:val="BodyText"/>
      </w:pPr>
      <w:r>
        <w:rPr>
          <w:bCs/>
          <w:b/>
        </w:rPr>
        <w:t xml:space="preserve">Appendix A:</w:t>
      </w:r>
      <w:r>
        <w:t xml:space="preserve"> </w:t>
      </w:r>
      <w:r>
        <w:t xml:space="preserve">Q3 2024 Revenue by Engineering Specialization (Los Angeles)</w:t>
      </w:r>
    </w:p>
    <w:p>
      <w:pPr>
        <w:numPr>
          <w:ilvl w:val="0"/>
          <w:numId w:val="1003"/>
        </w:numPr>
        <w:pStyle w:val="Compact"/>
      </w:pPr>
      <w:r>
        <w:t xml:space="preserve">AI Infrastructure: 41%</w:t>
      </w:r>
    </w:p>
    <w:p>
      <w:pPr>
        <w:numPr>
          <w:ilvl w:val="0"/>
          <w:numId w:val="1003"/>
        </w:numPr>
        <w:pStyle w:val="Compact"/>
      </w:pPr>
      <w:r>
        <w:t xml:space="preserve">Cybersecurity Solutions: 29%</w:t>
      </w:r>
    </w:p>
    <w:p>
      <w:pPr>
        <w:numPr>
          <w:ilvl w:val="0"/>
          <w:numId w:val="1003"/>
        </w:numPr>
        <w:pStyle w:val="Compact"/>
      </w:pPr>
      <w:r>
        <w:t xml:space="preserve">Cloud Architecture: 18%</w:t>
      </w:r>
    </w:p>
    <w:p>
      <w:pPr>
        <w:numPr>
          <w:ilvl w:val="0"/>
          <w:numId w:val="1003"/>
        </w:numPr>
        <w:pStyle w:val="Compact"/>
      </w:pPr>
      <w:r>
        <w:t xml:space="preserve">IoT Development: 12%</w:t>
      </w:r>
    </w:p>
    <w:p>
      <w:pPr>
        <w:pStyle w:val="FirstParagraph"/>
      </w:pPr>
      <w:r>
        <w:rPr>
          <w:iCs/>
          <w:i/>
        </w:rPr>
        <w:t xml:space="preserve">This report is confidential and proprietary to [Company Name]. Distribution restricted to authorized personnel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Angeles Computer Engineer Sales Performance Report - Q3 2024</dc:title>
  <dc:creator/>
  <dc:language>en</dc:language>
  <cp:keywords/>
  <dcterms:created xsi:type="dcterms:W3CDTF">2026-07-23T10:42:23Z</dcterms:created>
  <dcterms:modified xsi:type="dcterms:W3CDTF">2026-07-23T10:42:23Z</dcterms:modified>
</cp:coreProperties>
</file>

<file path=docProps/custom.xml><?xml version="1.0" encoding="utf-8"?>
<Properties xmlns="http://schemas.openxmlformats.org/officeDocument/2006/custom-properties" xmlns:vt="http://schemas.openxmlformats.org/officeDocument/2006/docPropsVTypes"/>
</file>