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Market</w:t>
      </w:r>
    </w:p>
    <w:bookmarkStart w:id="30" w:name="Xcef61d84064116977d25ca8fdb9d8d2510c7c65"/>
    <w:p>
      <w:pPr>
        <w:pStyle w:val="Heading1"/>
      </w:pPr>
      <w:r>
        <w:t xml:space="preserve">Q3 2024 Sales Performance Report: Strategic Integration of Computer Engineering Talent in United States Miami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Nexus Solutions (Miami Regional Office)</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pivotal role of Computer Engineers within Nexus Solutions' sales strategy across the United States Miami market. Q3 demonstrated a remarkable 18% year-over-year growth in enterprise software contracts, directly attributable to enhanced technical collaboration between our Computer Engineer teams and sales executives. As Miami emerges as a critical hub for South Florida's technology economy, this report underscores how strategic investment in Computer Engineer capabilities has become indispensable to our market penetration and client retention within the United States Miami landscape.</w:t>
      </w:r>
    </w:p>
    <w:bookmarkEnd w:id="20"/>
    <w:bookmarkStart w:id="21" w:name="ii.-united-states-miami-market-context"/>
    <w:p>
      <w:pPr>
        <w:pStyle w:val="Heading2"/>
      </w:pPr>
      <w:r>
        <w:t xml:space="preserve">II. United States Miami Market Context</w:t>
      </w:r>
    </w:p>
    <w:p>
      <w:pPr>
        <w:pStyle w:val="FirstParagraph"/>
      </w:pPr>
      <w:r>
        <w:t xml:space="preserve">The United States Miami region continues to solidify its position as a burgeoning tech ecosystem. With over 14,000 tech jobs added in Greater Miami since 2021 (Miami-Dade County Economic Development Office, Q3 2024 Report), local enterprises increasingly demand technically sophisticated solutions. Key growth drivers include:</w:t>
      </w:r>
    </w:p>
    <w:p>
      <w:pPr>
        <w:numPr>
          <w:ilvl w:val="0"/>
          <w:numId w:val="1001"/>
        </w:numPr>
        <w:pStyle w:val="Compact"/>
      </w:pPr>
      <w:r>
        <w:t xml:space="preserve">Expansion of fintech and blockchain startups along Brickell Avenue</w:t>
      </w:r>
    </w:p>
    <w:p>
      <w:pPr>
        <w:numPr>
          <w:ilvl w:val="0"/>
          <w:numId w:val="1001"/>
        </w:numPr>
        <w:pStyle w:val="Compact"/>
      </w:pPr>
      <w:r>
        <w:t xml:space="preserve">Increased government procurement for smart city infrastructure (e.g., Miami Beach IoT projects)</w:t>
      </w:r>
    </w:p>
    <w:p>
      <w:pPr>
        <w:numPr>
          <w:ilvl w:val="0"/>
          <w:numId w:val="1001"/>
        </w:numPr>
        <w:pStyle w:val="Compact"/>
      </w:pPr>
      <w:r>
        <w:t xml:space="preserve">Rising demand for bilingual (English/Spanish) technical solutions serving Latin American markets</w:t>
      </w:r>
    </w:p>
    <w:p>
      <w:pPr>
        <w:pStyle w:val="FirstParagraph"/>
      </w:pPr>
      <w:r>
        <w:t xml:space="preserve">This market dynamic necessitates that our Sales Report accurately reflects how Computer Engineers function as frontline assets—translating complex technical value into compelling sales propositions. Unlike traditional sales roles, the Miami-based Computer Engineer serves as a trusted advisor, addressing client-specific engineering challenges before proposals are finalized.</w:t>
      </w:r>
    </w:p>
    <w:bookmarkEnd w:id="21"/>
    <w:bookmarkStart w:id="22" w:name="Xa8fdc90481977a86dae2598b0e7a9aa0f66ea8c"/>
    <w:p>
      <w:pPr>
        <w:pStyle w:val="Heading2"/>
      </w:pPr>
      <w:r>
        <w:t xml:space="preserve">III. Computer Engineer Impact on Sales Performance: Miami-Specific Metrics</w:t>
      </w:r>
    </w:p>
    <w:p>
      <w:pPr>
        <w:pStyle w:val="FirstParagraph"/>
      </w:pPr>
      <w:r>
        <w:t xml:space="preserve">Sales Metric</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Contract Value per Enterprise Client (Miami)</w:t>
      </w:r>
    </w:p>
    <w:p>
      <w:pPr>
        <w:pStyle w:val="BodyText"/>
      </w:pPr>
      <w:r>
        <w:t xml:space="preserve">$148,500</w:t>
      </w:r>
    </w:p>
    <w:p>
      <w:pPr>
        <w:pStyle w:val="BodyText"/>
      </w:pPr>
      <w:r>
        <w:t xml:space="preserve">$176,900</w:t>
      </w:r>
    </w:p>
    <w:p>
      <w:pPr>
        <w:pStyle w:val="BodyText"/>
      </w:pPr>
      <w:r>
        <w:t xml:space="preserve">+19.2%</w:t>
      </w:r>
    </w:p>
    <w:p>
      <w:pPr>
        <w:pStyle w:val="BodyText"/>
      </w:pPr>
      <w:r>
        <w:t xml:space="preserve">Client Onboarding Time Reduction (Miami)</w:t>
      </w:r>
    </w:p>
    <w:p>
      <w:pPr>
        <w:pStyle w:val="BodyText"/>
      </w:pPr>
      <w:r>
        <w:t xml:space="preserve">32 days</w:t>
      </w:r>
    </w:p>
    <w:p>
      <w:pPr>
        <w:pStyle w:val="BodyText"/>
      </w:pPr>
      <w:r>
        <w:t xml:space="preserve">25 days</w:t>
      </w:r>
    </w:p>
    <w:p>
      <w:pPr>
        <w:pStyle w:val="BodyText"/>
      </w:pPr>
      <w:r>
        <w:t xml:space="preserve">-21.9%</w:t>
      </w:r>
    </w:p>
    <w:p>
      <w:pPr>
        <w:pStyle w:val="BodyText"/>
      </w:pPr>
      <w:r>
        <w:t xml:space="preserve">Sales Cycle Length (Miami)</w:t>
      </w:r>
    </w:p>
    <w:p>
      <w:pPr>
        <w:pStyle w:val="BodyText"/>
      </w:pPr>
      <w:r>
        <w:t xml:space="preserve">78 days</w:t>
      </w:r>
    </w:p>
    <w:p>
      <w:pPr>
        <w:pStyle w:val="BodyText"/>
      </w:pPr>
      <w:r>
        <w:t xml:space="preserve">64 days</w:t>
      </w:r>
    </w:p>
    <w:p>
      <w:pPr>
        <w:pStyle w:val="BodyText"/>
      </w:pPr>
      <w:r>
        <w:t xml:space="preserve">-18.0%</w:t>
      </w:r>
    </w:p>
    <w:p>
      <w:pPr>
        <w:pStyle w:val="BodyText"/>
      </w:pPr>
      <w:r>
        <w:rPr>
          <w:bCs/>
          <w:b/>
        </w:rPr>
        <w:t xml:space="preserve">The Critical Role of the Computer Engineer:</w:t>
      </w:r>
      <w:r>
        <w:t xml:space="preserve"> </w:t>
      </w:r>
      <w:r>
        <w:t xml:space="preserve">Our Miami-based Computer Engineers conducted 142 technical discovery sessions with prospects—exceeding target by 37%. These sessions directly enabled sales teams to position our AI-driven logistics platform as a solution for specific client pain points (e.g., reducing warehouse processing delays by 31% for a major Miami distribution firm). The integration of Computer Engineers into the early sales cycle reduced technical objections by 58% compared to Q2.</w:t>
      </w:r>
    </w:p>
    <w:bookmarkEnd w:id="22"/>
    <w:bookmarkStart w:id="26" w:name="X367496c7a2ed52195dece54f2f16dcc863ff910"/>
    <w:p>
      <w:pPr>
        <w:pStyle w:val="Heading2"/>
      </w:pPr>
      <w:r>
        <w:t xml:space="preserve">IV. Strategic Initiatives Driving Success: United States Miami Focus</w:t>
      </w:r>
    </w:p>
    <w:p>
      <w:pPr>
        <w:pStyle w:val="FirstParagraph"/>
      </w:pPr>
      <w:r>
        <w:t xml:space="preserve">Several targeted initiatives implemented in Q3 leveraged our Computer Engineer talent to dominate the Miami market:</w:t>
      </w:r>
    </w:p>
    <w:bookmarkStart w:id="23" w:name="Xb7957d75bef2cb5513abbe74930b1430be56179"/>
    <w:p>
      <w:pPr>
        <w:pStyle w:val="Heading3"/>
      </w:pPr>
      <w:r>
        <w:t xml:space="preserve">A. "Tech Scout" Program (Miami Regional Launch)</w:t>
      </w:r>
    </w:p>
    <w:p>
      <w:pPr>
        <w:pStyle w:val="FirstParagraph"/>
      </w:pPr>
      <w:r>
        <w:t xml:space="preserve">Computer Engineers embedded within sales teams conducted competitive technical analysis on key Miami clients. This yielded a 27% win rate against major competitors (e.g., defeating Salesforce for a $1.2M healthcare client) by demonstrating superior integration capabilities with existing Miami-based hospital systems.</w:t>
      </w:r>
    </w:p>
    <w:bookmarkEnd w:id="23"/>
    <w:bookmarkStart w:id="24" w:name="X81adf36fd9ffa3a168da9b9cb1f4c8dd1e8c7c6"/>
    <w:p>
      <w:pPr>
        <w:pStyle w:val="Heading3"/>
      </w:pPr>
      <w:r>
        <w:t xml:space="preserve">B. Bilingual Technical Support Capability</w:t>
      </w:r>
    </w:p>
    <w:p>
      <w:pPr>
        <w:pStyle w:val="FirstParagraph"/>
      </w:pPr>
      <w:r>
        <w:t xml:space="preserve">With 68% of Miami's tech workforce speaking Spanish, our Computer Engineers certified in both English and Spanish (via local university partnerships with FIU and UM) became critical for client trust-building. This capability directly contributed to winning contracts with three major Latin American enterprise clients headquartered in Miami-Dade County.</w:t>
      </w:r>
    </w:p>
    <w:bookmarkEnd w:id="24"/>
    <w:bookmarkStart w:id="25" w:name="Xb19954a7202871912c61e2f7c5edacd4ac88f0f"/>
    <w:p>
      <w:pPr>
        <w:pStyle w:val="Heading3"/>
      </w:pPr>
      <w:r>
        <w:t xml:space="preserve">C. Smart City Innovation Lab Collaboration</w:t>
      </w:r>
    </w:p>
    <w:p>
      <w:pPr>
        <w:pStyle w:val="FirstParagraph"/>
      </w:pPr>
      <w:r>
        <w:t xml:space="preserve">Computer Engineers co-developed a proof-of-concept solution with Miami-Dade County's Office of Resilience, securing an $850K pilot project. This technical showcase became a cornerstone of sales demonstrations for municipal clients across South Florida, directly feeding our Q3 revenue growth.</w:t>
      </w:r>
    </w:p>
    <w:bookmarkEnd w:id="25"/>
    <w:bookmarkEnd w:id="26"/>
    <w:bookmarkStart w:id="27" w:name="v.-challenges-strategic-recommendations"/>
    <w:p>
      <w:pPr>
        <w:pStyle w:val="Heading2"/>
      </w:pPr>
      <w:r>
        <w:t xml:space="preserve">V. Challenges &amp; Strategic Recommendations</w:t>
      </w:r>
    </w:p>
    <w:p>
      <w:pPr>
        <w:pStyle w:val="FirstParagraph"/>
      </w:pPr>
      <w:r>
        <w:t xml:space="preserve">While results are strong, Miami-specific challenges require attention:</w:t>
      </w:r>
    </w:p>
    <w:p>
      <w:pPr>
        <w:numPr>
          <w:ilvl w:val="0"/>
          <w:numId w:val="1002"/>
        </w:numPr>
        <w:pStyle w:val="Compact"/>
      </w:pPr>
      <w:r>
        <w:rPr>
          <w:bCs/>
          <w:b/>
        </w:rPr>
        <w:t xml:space="preserve">Talent Pipeline Constraints:</w:t>
      </w:r>
      <w:r>
        <w:t xml:space="preserve"> </w:t>
      </w:r>
      <w:r>
        <w:t xml:space="preserve">Miami faces a 15% shortage of specialized Computer Engineers (per 2024 TechMiami Talent Report). Recommendation: Partner with MDC and FAU on dedicated "Sales Engineering" internship programs.</w:t>
      </w:r>
    </w:p>
    <w:p>
      <w:pPr>
        <w:numPr>
          <w:ilvl w:val="0"/>
          <w:numId w:val="1002"/>
        </w:numPr>
        <w:pStyle w:val="Compact"/>
      </w:pPr>
      <w:r>
        <w:rPr>
          <w:bCs/>
          <w:b/>
        </w:rPr>
        <w:t xml:space="preserve">Regional Competition:</w:t>
      </w:r>
      <w:r>
        <w:t xml:space="preserve"> </w:t>
      </w:r>
      <w:r>
        <w:t xml:space="preserve">New entrants like Tampa-based tech firms aggressively poaching our Computer Engineers. Recommendation: Implement Miami-specific retention bonuses (5-7% above national average) tied to client success metrics.</w:t>
      </w:r>
    </w:p>
    <w:p>
      <w:pPr>
        <w:numPr>
          <w:ilvl w:val="0"/>
          <w:numId w:val="1002"/>
        </w:numPr>
        <w:pStyle w:val="Compact"/>
      </w:pPr>
      <w:r>
        <w:rPr>
          <w:bCs/>
          <w:b/>
        </w:rPr>
        <w:t xml:space="preserve">Infrastructure Limitations:</w:t>
      </w:r>
      <w:r>
        <w:t xml:space="preserve"> </w:t>
      </w:r>
      <w:r>
        <w:t xml:space="preserve">Some Miami clients still operate legacy systems incompatible with modern AI solutions. Recommendation: Develop a "Legacy Bridge" service package led by our Computer Engineers, targeting 30+ high-value prospects in Q4.</w:t>
      </w:r>
    </w:p>
    <w:bookmarkEnd w:id="27"/>
    <w:bookmarkStart w:id="29" w:name="vi.-conclusion-forward-look"/>
    <w:p>
      <w:pPr>
        <w:pStyle w:val="Heading2"/>
      </w:pPr>
      <w:r>
        <w:t xml:space="preserve">VI. Conclusion &amp; Forward Look</w:t>
      </w:r>
    </w:p>
    <w:p>
      <w:pPr>
        <w:pStyle w:val="FirstParagraph"/>
      </w:pPr>
      <w:r>
        <w:t xml:space="preserve">This Sales Report unequivocally demonstrates that in the United States Miami market, Computer Engineers are not merely support staff—they are the catalyst for scalable sales growth. The 18% YoY revenue increase in our Miami operations directly correlates with strategic deployment of Computer Engineers as sales enablers. Moving into Q4 2024 and beyond, we project an additional 25% revenue surge by expanding the "Tech Scout" model to all South Florida territories.</w:t>
      </w:r>
    </w:p>
    <w:p>
      <w:pPr>
        <w:pStyle w:val="BodyText"/>
      </w:pPr>
      <w:r>
        <w:t xml:space="preserve">As Miami continues its ascent as a top-10 U.S. tech hub (per CBRE's 2024 report), the synergy between sales execution and Computer Engineer expertise will be non-negotiable for market leadership. We recommend institutionalizing this model company-wide, with Miami serving as the flagship example for all regional offices. The future of sales in the United States is technical—especially here in Miami.</w:t>
      </w:r>
    </w:p>
    <w:p>
      <w:pPr>
        <w:pStyle w:val="BodyText"/>
      </w:pPr>
      <w:r>
        <w:rPr>
          <w:iCs/>
          <w:i/>
        </w:rPr>
        <w:t xml:space="preserve">"Our Computer Engineers don't just build solutions; they build trust, one technical consultation at a time." - Carlos Mendez, VP Sales (Miami), Nexus Solutions</w:t>
      </w:r>
    </w:p>
    <w:bookmarkStart w:id="28" w:name="attachments"/>
    <w:p>
      <w:pPr>
        <w:pStyle w:val="Heading3"/>
      </w:pPr>
      <w:r>
        <w:t xml:space="preserve">Attachments:</w:t>
      </w:r>
    </w:p>
    <w:p>
      <w:pPr>
        <w:numPr>
          <w:ilvl w:val="0"/>
          <w:numId w:val="1003"/>
        </w:numPr>
        <w:pStyle w:val="Compact"/>
      </w:pPr>
      <w:r>
        <w:t xml:space="preserve">Appendix A: Miami Client Success Stories (Q3 2024)</w:t>
      </w:r>
    </w:p>
    <w:p>
      <w:pPr>
        <w:numPr>
          <w:ilvl w:val="0"/>
          <w:numId w:val="1003"/>
        </w:numPr>
        <w:pStyle w:val="Compact"/>
      </w:pPr>
      <w:r>
        <w:t xml:space="preserve">Appendix B: Computer Engineer Performance Metrics Dashboard</w:t>
      </w:r>
    </w:p>
    <w:p>
      <w:pPr>
        <w:numPr>
          <w:ilvl w:val="0"/>
          <w:numId w:val="1003"/>
        </w:numPr>
        <w:pStyle w:val="Compact"/>
      </w:pPr>
      <w:r>
        <w:t xml:space="preserve">Appendix C: United States Miami Tech Ecosystem Growth Data</w:t>
      </w:r>
    </w:p>
    <w:p>
      <w:pPr>
        <w:pStyle w:val="FirstParagraph"/>
      </w:pPr>
      <w:r>
        <w:rPr>
          <w:bCs/>
          <w:b/>
        </w:rPr>
        <w:t xml:space="preserve">Total Document Words:</w:t>
      </w:r>
      <w:r>
        <w:t xml:space="preserve"> </w:t>
      </w:r>
      <w:r>
        <w:t xml:space="preserve">897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Computer Engineer Integration in United States Miami Market</dc:title>
  <dc:creator/>
  <dc:language>en</dc:language>
  <cp:keywords/>
  <dcterms:created xsi:type="dcterms:W3CDTF">2026-07-22T15:28:46Z</dcterms:created>
  <dcterms:modified xsi:type="dcterms:W3CDTF">2026-07-22T15:28:46Z</dcterms:modified>
</cp:coreProperties>
</file>

<file path=docProps/custom.xml><?xml version="1.0" encoding="utf-8"?>
<Properties xmlns="http://schemas.openxmlformats.org/officeDocument/2006/custom-properties" xmlns:vt="http://schemas.openxmlformats.org/officeDocument/2006/docPropsVTypes"/>
</file>