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51c5e35c7607c36d2526e6d3d6e13048878bfb3"/>
    <w:p>
      <w:pPr>
        <w:pStyle w:val="Heading1"/>
      </w:pPr>
      <w:r>
        <w:t xml:space="preserve">Q3 2023 Sales Report: Curriculum Developer Services in China Beijing Market</w:t>
      </w:r>
    </w:p>
    <w:p>
      <w:pPr>
        <w:pStyle w:val="FirstParagraph"/>
      </w:pPr>
      <w:r>
        <w:rPr>
          <w:bCs/>
          <w:b/>
        </w:rPr>
        <w:t xml:space="preserve">Prepared for Executive Leadership &amp; Strategic Partnerships</w:t>
      </w:r>
      <w:r>
        <w:br/>
      </w:r>
      <w:r>
        <w:t xml:space="preserve">Date: October 26, 2023</w:t>
      </w:r>
      <w:r>
        <w:br/>
      </w:r>
      <w:r>
        <w:t xml:space="preserve">Prepared By: Global Education Solutions, Asia-Pacific Division</w:t>
      </w:r>
    </w:p>
    <w:bookmarkStart w:id="20" w:name="executive-summary"/>
    <w:p>
      <w:pPr>
        <w:pStyle w:val="Heading2"/>
      </w:pPr>
      <w:r>
        <w:t xml:space="preserve">Executive Summary</w:t>
      </w:r>
    </w:p>
    <w:p>
      <w:pPr>
        <w:pStyle w:val="FirstParagraph"/>
      </w:pPr>
      <w:r>
        <w:t xml:space="preserve">The Q3 2023 Sales Report for Curriculum Developer services in China Beijing demonstrates exceptional market penetration and strategic alignment with Beijing's evolving education ecosystem. Following the Ministry of Education's 2023 "Quality Education Enhancement Initiative," our Curriculum Developer solutions have secured contracts with 14 high-demand institutions across Beijing, representing a 47% year-over-year growth in sales velocity. Total contracted value reached ¥18.7 million (≈$2.5M USD), with a focus on aligning international and domestic curricula to meet China's national standards while integrating technological innovation—proving critical for schools navigating the "Double Reduction" policy reforms. This report details our success in positioning Curriculum Developer expertise as indispensable for Beijing's education leaders.</w:t>
      </w:r>
    </w:p>
    <w:bookmarkEnd w:id="20"/>
    <w:bookmarkStart w:id="21" w:name="market-analysis-the-beijing-context"/>
    <w:p>
      <w:pPr>
        <w:pStyle w:val="Heading2"/>
      </w:pPr>
      <w:r>
        <w:t xml:space="preserve">Market Analysis: The Beijing Context</w:t>
      </w:r>
    </w:p>
    <w:p>
      <w:pPr>
        <w:pStyle w:val="FirstParagraph"/>
      </w:pPr>
      <w:r>
        <w:t xml:space="preserve">Beijing remains the epicenter of China's educational innovation, housing 68% of the nation's top-tier international schools and 127 Ministry-approved dual-curriculum institutions. Post-Double Reduction (2021), schools face intense pressure to reduce rote learning while enhancing critical thinking—creating a $3.2B annual market for specialized Curriculum Developer services. Our analysis confirms that 89% of Beijing-based schools prioritize "curriculum localization" (integrating Chinese cultural values into global pedagogy) and "digital readiness" as non-negotiable criteria for vendor selection. This positions us uniquely: Our Beijing-based Curriculum Developer team—comprising former MOE advisors, bilingual curriculum specialists, and AI-edtech engineers—delivers solutions that directly address these pain points. For example, 7 of the top 10 schools in our target segment cited "cultural authenticity" as their primary differentiator when choosing a Curriculum Developer partner.</w:t>
      </w:r>
    </w:p>
    <w:bookmarkEnd w:id="21"/>
    <w:bookmarkStart w:id="22" w:name="X0d9f4aab720f08d42381c0e80f4fc1200bdf213"/>
    <w:p>
      <w:pPr>
        <w:pStyle w:val="Heading2"/>
      </w:pPr>
      <w:r>
        <w:t xml:space="preserve">Product Value Proposition: Tailored for Beijing's Education Ecosystem</w:t>
      </w:r>
    </w:p>
    <w:p>
      <w:pPr>
        <w:pStyle w:val="FirstParagraph"/>
      </w:pPr>
      <w:r>
        <w:t xml:space="preserve">Our Curriculum Developer service isn't merely content creation; it's strategic alignment. In China Beijing, we’ve engineered a 4-pillar framework:</w:t>
      </w:r>
    </w:p>
    <w:p>
      <w:pPr>
        <w:numPr>
          <w:ilvl w:val="0"/>
          <w:numId w:val="1001"/>
        </w:numPr>
        <w:pStyle w:val="Compact"/>
      </w:pPr>
      <w:r>
        <w:rPr>
          <w:bCs/>
          <w:b/>
        </w:rPr>
        <w:t xml:space="preserve">National Standards Integration:</w:t>
      </w:r>
      <w:r>
        <w:t xml:space="preserve"> </w:t>
      </w:r>
      <w:r>
        <w:t xml:space="preserve">Direct mapping to China’s 2022 Revised Academic Curriculum Framework for all subjects (e.g., embedding "Core Socialist Values" into STEM modules).</w:t>
      </w:r>
    </w:p>
    <w:p>
      <w:pPr>
        <w:numPr>
          <w:ilvl w:val="0"/>
          <w:numId w:val="1001"/>
        </w:numPr>
        <w:pStyle w:val="Compact"/>
      </w:pPr>
      <w:r>
        <w:rPr>
          <w:bCs/>
          <w:b/>
        </w:rPr>
        <w:t xml:space="preserve">Technology-Enhanced Learning (TEL):</w:t>
      </w:r>
      <w:r>
        <w:t xml:space="preserve"> </w:t>
      </w:r>
      <w:r>
        <w:t xml:space="preserve">AI-driven adaptive learning paths compatible with Beijing’s mandatory digital platforms like "Beijing Education Cloud."</w:t>
      </w:r>
    </w:p>
    <w:p>
      <w:pPr>
        <w:numPr>
          <w:ilvl w:val="0"/>
          <w:numId w:val="1001"/>
        </w:numPr>
        <w:pStyle w:val="Compact"/>
      </w:pPr>
      <w:r>
        <w:rPr>
          <w:bCs/>
          <w:b/>
        </w:rPr>
        <w:t xml:space="preserve">Cultural Contextualization:</w:t>
      </w:r>
      <w:r>
        <w:t xml:space="preserve"> </w:t>
      </w:r>
      <w:r>
        <w:t xml:space="preserve">Localized case studies (e.g., using Beijing's hutong community projects in social studies) to boost student engagement.</w:t>
      </w:r>
    </w:p>
    <w:p>
      <w:pPr>
        <w:numPr>
          <w:ilvl w:val="0"/>
          <w:numId w:val="1001"/>
        </w:numPr>
        <w:pStyle w:val="Compact"/>
      </w:pPr>
      <w:r>
        <w:rPr>
          <w:bCs/>
          <w:b/>
        </w:rPr>
        <w:t xml:space="preserve">Sustainability Framework:</w:t>
      </w:r>
      <w:r>
        <w:t xml:space="preserve"> </w:t>
      </w:r>
      <w:r>
        <w:t xml:space="preserve">Training modules for teachers to maintain curriculum quality post-implementation, critical for Beijing's focus on long-term educational equity.</w:t>
      </w:r>
    </w:p>
    <w:bookmarkEnd w:id="22"/>
    <w:bookmarkStart w:id="23" w:name="X549b3c534b3c163ba05914aceddc95e29ae9d15"/>
    <w:p>
      <w:pPr>
        <w:pStyle w:val="Heading2"/>
      </w:pPr>
      <w:r>
        <w:t xml:space="preserve">Sales Performance: Beijing-Specific Achievements</w:t>
      </w:r>
    </w:p>
    <w:p>
      <w:pPr>
        <w:pStyle w:val="FirstParagraph"/>
      </w:pPr>
      <w:r>
        <w:t xml:space="preserve">Q3 2023 marked a milestone in China Beijing sales velocity. We achieved:</w:t>
      </w:r>
    </w:p>
    <w:p>
      <w:pPr>
        <w:numPr>
          <w:ilvl w:val="0"/>
          <w:numId w:val="1002"/>
        </w:numPr>
        <w:pStyle w:val="Compact"/>
      </w:pPr>
      <w:r>
        <w:rPr>
          <w:bCs/>
          <w:b/>
        </w:rPr>
        <w:t xml:space="preserve">Contract Acquisition:</w:t>
      </w:r>
      <w:r>
        <w:t xml:space="preserve"> </w:t>
      </w:r>
      <w:r>
        <w:t xml:space="preserve">14 new institutional contracts (75% of total closed deals), including 5 Tier-1 schools like Peking University International School and Tsinghua University Affiliated Middle School.</w:t>
      </w:r>
    </w:p>
    <w:p>
      <w:pPr>
        <w:numPr>
          <w:ilvl w:val="0"/>
          <w:numId w:val="1002"/>
        </w:numPr>
        <w:pStyle w:val="Compact"/>
      </w:pPr>
      <w:r>
        <w:rPr>
          <w:bCs/>
          <w:b/>
        </w:rPr>
        <w:t xml:space="preserve">Revenue Growth:</w:t>
      </w:r>
      <w:r>
        <w:t xml:space="preserve"> </w:t>
      </w:r>
      <w:r>
        <w:t xml:space="preserve">47% YoY increase in Curriculum Developer service sales, driven by demand for "MOE-compliant international curricula" (32% of all contracts).</w:t>
      </w:r>
    </w:p>
    <w:p>
      <w:pPr>
        <w:numPr>
          <w:ilvl w:val="0"/>
          <w:numId w:val="1002"/>
        </w:numPr>
        <w:pStyle w:val="Compact"/>
      </w:pPr>
      <w:r>
        <w:rPr>
          <w:bCs/>
          <w:b/>
        </w:rPr>
        <w:t xml:space="preserve">Client Retention:</w:t>
      </w:r>
      <w:r>
        <w:t xml:space="preserve"> </w:t>
      </w:r>
      <w:r>
        <w:t xml:space="preserve">98% renewal rate among existing Beijing clients—significantly above the industry average of 85%—due to our proactive Curriculum Developer support during policy shifts.</w:t>
      </w:r>
    </w:p>
    <w:p>
      <w:pPr>
        <w:numPr>
          <w:ilvl w:val="0"/>
          <w:numId w:val="1002"/>
        </w:numPr>
        <w:pStyle w:val="Compact"/>
      </w:pPr>
      <w:r>
        <w:rPr>
          <w:bCs/>
          <w:b/>
        </w:rPr>
        <w:t xml:space="preserve">Geographic Expansion:</w:t>
      </w:r>
      <w:r>
        <w:t xml:space="preserve"> </w:t>
      </w:r>
      <w:r>
        <w:t xml:space="preserve">Penetrated key districts including Haidian (Beijing's education hub) and Chaoyang (home to 40% of international schools), with a target of 25 new contracts in Q4 2023.</w:t>
      </w:r>
    </w:p>
    <w:bookmarkEnd w:id="23"/>
    <w:bookmarkStart w:id="24" w:name="X5d740d55b5671c3db48dbec868d5a3e9350672e"/>
    <w:p>
      <w:pPr>
        <w:pStyle w:val="Heading2"/>
      </w:pPr>
      <w:r>
        <w:t xml:space="preserve">Case Study: Beijing International School (BIS)</w:t>
      </w:r>
    </w:p>
    <w:p>
      <w:pPr>
        <w:pStyle w:val="FirstParagraph"/>
      </w:pPr>
      <w:r>
        <w:t xml:space="preserve">BIS, a leading private school in Beijing's Shunyi district, faced declining enrollment due to curriculum misalignment with MOE standards. Our Curriculum Developer team conducted a 6-week diagnostic assessment identifying gaps in Chinese language integration across global curricula. We delivered:</w:t>
      </w:r>
    </w:p>
    <w:p>
      <w:pPr>
        <w:numPr>
          <w:ilvl w:val="0"/>
          <w:numId w:val="1003"/>
        </w:numPr>
        <w:pStyle w:val="Compact"/>
      </w:pPr>
      <w:r>
        <w:t xml:space="preserve">A bespoke Mandarin-integrated humanities module co-designed with BIS teachers</w:t>
      </w:r>
    </w:p>
    <w:p>
      <w:pPr>
        <w:numPr>
          <w:ilvl w:val="0"/>
          <w:numId w:val="1003"/>
        </w:numPr>
        <w:pStyle w:val="Compact"/>
      </w:pPr>
      <w:r>
        <w:t xml:space="preserve">AI analytics dashboard tracking student progress against national benchmarks</w:t>
      </w:r>
    </w:p>
    <w:p>
      <w:pPr>
        <w:numPr>
          <w:ilvl w:val="0"/>
          <w:numId w:val="1003"/>
        </w:numPr>
        <w:pStyle w:val="Compact"/>
      </w:pPr>
      <w:r>
        <w:t xml:space="preserve">Teacher training workshops aligned with Beijing Education Bureau’s 2023 pedagogy standards</w:t>
      </w:r>
    </w:p>
    <w:p>
      <w:pPr>
        <w:pStyle w:val="FirstParagraph"/>
      </w:pPr>
      <w:r>
        <w:rPr>
          <w:iCs/>
          <w:i/>
        </w:rPr>
        <w:t xml:space="preserve">Result: Within 5 months, BIS achieved a 68% increase in student satisfaction scores related to curriculum relevance and secured MOE approval for its new program—directly attributed to our Curriculum Developer expertise. This contract generated ¥3.2M in revenue and became a flagship reference for our Beijing sales team.</w:t>
      </w:r>
    </w:p>
    <w:bookmarkEnd w:id="24"/>
    <w:bookmarkStart w:id="25" w:name="challenges-strategic-opportunities"/>
    <w:p>
      <w:pPr>
        <w:pStyle w:val="Heading2"/>
      </w:pPr>
      <w:r>
        <w:t xml:space="preserve">Challenges &amp; Strategic Opportunities</w:t>
      </w:r>
    </w:p>
    <w:p>
      <w:pPr>
        <w:pStyle w:val="FirstParagraph"/>
      </w:pPr>
      <w:r>
        <w:t xml:space="preserve">While the China Beijing market offers immense potential, we face three critical challenges requiring agile Curriculum Developer solutions:</w:t>
      </w:r>
    </w:p>
    <w:p>
      <w:pPr>
        <w:numPr>
          <w:ilvl w:val="0"/>
          <w:numId w:val="1004"/>
        </w:numPr>
        <w:pStyle w:val="Compact"/>
      </w:pPr>
      <w:r>
        <w:rPr>
          <w:bCs/>
          <w:b/>
        </w:rPr>
        <w:t xml:space="preserve">Policy Volatility:</w:t>
      </w:r>
      <w:r>
        <w:t xml:space="preserve"> </w:t>
      </w:r>
      <w:r>
        <w:t xml:space="preserve">MOE’s quarterly curriculum adjustments require our developers to maintain real-time compliance databases. Our solution: A dedicated Beijing Policy Intelligence Unit within the Curriculum Developer team.</w:t>
      </w:r>
    </w:p>
    <w:p>
      <w:pPr>
        <w:numPr>
          <w:ilvl w:val="0"/>
          <w:numId w:val="1004"/>
        </w:numPr>
        <w:pStyle w:val="Compact"/>
      </w:pPr>
      <w:r>
        <w:rPr>
          <w:bCs/>
          <w:b/>
        </w:rPr>
        <w:t xml:space="preserve">Cultural Nuance Gap:</w:t>
      </w:r>
      <w:r>
        <w:t xml:space="preserve"> </w:t>
      </w:r>
      <w:r>
        <w:t xml:space="preserve">Some international schools struggle with authentic Chinese cultural integration. Our fix: Partnering with Beijing-based cultural institutions (e.g., Forbidden City Museum) for immersive curriculum development.</w:t>
      </w:r>
    </w:p>
    <w:p>
      <w:pPr>
        <w:numPr>
          <w:ilvl w:val="0"/>
          <w:numId w:val="1004"/>
        </w:numPr>
        <w:pStyle w:val="Compact"/>
      </w:pPr>
      <w:r>
        <w:rPr>
          <w:bCs/>
          <w:b/>
        </w:rPr>
        <w:t xml:space="preserve">Digital Infrastructure Heterogeneity:</w:t>
      </w:r>
      <w:r>
        <w:t xml:space="preserve"> </w:t>
      </w:r>
      <w:r>
        <w:t xml:space="preserve">Varying tech capabilities across schools. We address this via tiered Curriculum Developer service packages (Basic, Advanced, Enterprise).</w:t>
      </w:r>
    </w:p>
    <w:p>
      <w:pPr>
        <w:pStyle w:val="FirstParagraph"/>
      </w:pPr>
      <w:r>
        <w:t xml:space="preserve">Opportunities ahead include Beijing’s 2024 "Education Technology 2030" plan—targeting AI integration in 100% of schools—and the surge in demand for "bilingual competency" curricula. We’re positioning our Curriculum Developer team to lead these initiatives through strategic partnerships with Zhongguancun Science Park tech firms.</w:t>
      </w:r>
    </w:p>
    <w:bookmarkEnd w:id="25"/>
    <w:bookmarkStart w:id="26" w:name="conclusion-forward-strategy"/>
    <w:p>
      <w:pPr>
        <w:pStyle w:val="Heading2"/>
      </w:pPr>
      <w:r>
        <w:t xml:space="preserve">Conclusion &amp; Forward Strategy</w:t>
      </w:r>
    </w:p>
    <w:p>
      <w:pPr>
        <w:pStyle w:val="FirstParagraph"/>
      </w:pPr>
      <w:r>
        <w:t xml:space="preserve">The success of our Curriculum Developer service in China Beijing underscores a fundamental truth: Education transformation in China requires local expertise, not just global frameworks. With 83% of Beijing schools now prioritizing curriculum as their top operational concern (per our Q3 client survey), we’ve cemented the Curriculum Developer role as strategic—not transactional. For 2024, we’ll expand our Beijing-based Curriculum Developer workforce by 40% and launch a "Beijing Curriculum Lab" to co-create solutions with schools. This isn’t just sales growth; it’s about shaping China’s educational future from the heart of its capital city. The numbers speak for themselves: Our Curriculum Developer service is no longer optional—it’s the engine driving Beijing's education evolution.</w:t>
      </w:r>
    </w:p>
    <w:p>
      <w:pPr>
        <w:pStyle w:val="BodyText"/>
      </w:pPr>
      <w:r>
        <w:rPr>
          <w:bCs/>
          <w:b/>
        </w:rPr>
        <w:t xml:space="preserve">Appendix: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 Change (YoY)</w:t>
            </w:r>
          </w:p>
        </w:tc>
      </w:tr>
      <w:tr>
        <w:tc>
          <w:tcPr/>
          <w:p>
            <w:pPr>
              <w:pStyle w:val="Compact"/>
              <w:jc w:val="left"/>
            </w:pPr>
            <w:r>
              <w:t xml:space="preserve">New Contracts in Beijing</w:t>
            </w:r>
          </w:p>
        </w:tc>
        <w:tc>
          <w:tcPr/>
          <w:p>
            <w:pPr>
              <w:pStyle w:val="Compact"/>
              <w:jc w:val="left"/>
            </w:pPr>
            <w:r>
              <w:t xml:space="preserve">14</w:t>
            </w:r>
          </w:p>
        </w:tc>
        <w:tc>
          <w:tcPr/>
          <w:p>
            <w:pPr>
              <w:pStyle w:val="Compact"/>
              <w:jc w:val="left"/>
            </w:pPr>
            <w:r>
              <w:t xml:space="preserve">+47%</w:t>
            </w:r>
          </w:p>
        </w:tc>
      </w:tr>
      <w:tr>
        <w:tc>
          <w:tcPr/>
          <w:p>
            <w:pPr>
              <w:pStyle w:val="Compact"/>
              <w:jc w:val="left"/>
            </w:pPr>
            <w:r>
              <w:t xml:space="preserve">Contract Value (¥ millions)</w:t>
            </w:r>
          </w:p>
        </w:tc>
        <w:tc>
          <w:tcPr/>
          <w:p>
            <w:pPr>
              <w:pStyle w:val="Compact"/>
              <w:jc w:val="left"/>
            </w:pPr>
            <w:r>
              <w:t xml:space="preserve">18.7</w:t>
            </w:r>
          </w:p>
        </w:tc>
        <w:tc>
          <w:tcPr/>
          <w:p>
            <w:pPr>
              <w:pStyle w:val="Compact"/>
              <w:jc w:val="left"/>
            </w:pPr>
            <w:r>
              <w:t xml:space="preserve">+52%</w:t>
            </w:r>
          </w:p>
        </w:tc>
      </w:tr>
      <w:tr>
        <w:tc>
          <w:tcPr/>
          <w:p>
            <w:pPr>
              <w:pStyle w:val="Compact"/>
              <w:jc w:val="left"/>
            </w:pPr>
            <w:r>
              <w:t xml:space="preserve">Client Retention Rate</w:t>
            </w:r>
          </w:p>
        </w:tc>
        <w:tc>
          <w:tcPr/>
          <w:p>
            <w:pPr>
              <w:pStyle w:val="Compact"/>
              <w:jc w:val="left"/>
            </w:pPr>
            <w:r>
              <w:t xml:space="preserve">98%</w:t>
            </w:r>
          </w:p>
        </w:tc>
        <w:tc>
          <w:tcPr/>
          <w:p>
            <w:pPr>
              <w:pStyle w:val="Compact"/>
              <w:jc w:val="left"/>
            </w:pPr>
            <w:r>
              <w:t xml:space="preserve">+13 pts.</w:t>
            </w:r>
          </w:p>
        </w:tc>
      </w:tr>
    </w:tbl>
    <w:p>
      <w:pPr>
        <w:pStyle w:val="BodyText"/>
      </w:pPr>
      <w:r>
        <w:rPr>
          <w:iCs/>
          <w:i/>
        </w:rPr>
        <w:t xml:space="preserve">All data sourced from Beijing Education Bureau compliance databases and internal client performance tracking. Curriculum Developer services fully aligned with MOE Regulation 2023-04 on curriculum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Curriculum Developer Services in China Beijing Market</dc:title>
  <dc:creator/>
  <cp:keywords/>
  <dcterms:created xsi:type="dcterms:W3CDTF">2026-04-29T12:27:21Z</dcterms:created>
  <dcterms:modified xsi:type="dcterms:W3CDTF">2026-04-29T12:27:21Z</dcterms:modified>
</cp:coreProperties>
</file>

<file path=docProps/custom.xml><?xml version="1.0" encoding="utf-8"?>
<Properties xmlns="http://schemas.openxmlformats.org/officeDocument/2006/custom-properties" xmlns:vt="http://schemas.openxmlformats.org/officeDocument/2006/docPropsVTypes"/>
</file>