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8" w:name="X273a6a934b39c696682e63b5add85713b065a5c"/>
    <w:p>
      <w:pPr>
        <w:pStyle w:val="Heading1"/>
      </w:pPr>
      <w:r>
        <w:t xml:space="preserve">Sales Report: Strategic Positioning of Curriculum Development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Educational Solutions Division</w:t>
      </w:r>
    </w:p>
    <w:bookmarkStart w:id="20" w:name="i.-executive-summary"/>
    <w:p>
      <w:pPr>
        <w:pStyle w:val="Heading2"/>
      </w:pPr>
      <w:r>
        <w:t xml:space="preserve">I. Executive Summary</w:t>
      </w:r>
    </w:p>
    <w:p>
      <w:pPr>
        <w:pStyle w:val="FirstParagraph"/>
      </w:pPr>
      <w:r>
        <w:t xml:space="preserve">This Sales Report provides a comprehensive analysis of the curriculum development service market in Colombia Bogotá, with specific focus on our strategic positioning as a leading provider of innovative Curriculum Developer solutions. Following a 12-month sales cycle across the Colombian capital, we have achieved remarkable market penetration (68% growth YoY) through tailored educational frameworks that align with national pedagogical standards while addressing Bogotá's unique urban education challenges. Our Curriculum Developer service portfolio now serves 47 public and private institutions across Bogotá, demonstrating exceptional demand for locally adapted educational content in a region where 83% of schools report critical curriculum gaps.</w:t>
      </w:r>
    </w:p>
    <w:bookmarkEnd w:id="20"/>
    <w:bookmarkStart w:id="21" w:name="X13018a51cc099d1e8ed912037bd6c4576aa187a"/>
    <w:p>
      <w:pPr>
        <w:pStyle w:val="Heading2"/>
      </w:pPr>
      <w:r>
        <w:t xml:space="preserve">II. Market Context: Colombia Bogotá Educational Landscape</w:t>
      </w:r>
    </w:p>
    <w:p>
      <w:pPr>
        <w:pStyle w:val="FirstParagraph"/>
      </w:pPr>
      <w:r>
        <w:t xml:space="preserve">Bogotá's education ecosystem represents the epicenter of Colombia's academic innovation, housing 54% of the nation's higher education institutions and serving over 1.2 million students annually across 3,800 schools. However, a recent Ministry of Education study reveals that only 29% of Bogotá schools implement curricula meeting updated national competency standards (Decree 1686/2023). This gap creates urgent demand for our Curriculum Developer services. Crucially, Bogotá's diverse demographics—spanning affluent neighborhoods like Chapinero and underserved areas such as Soacha—require hyper-localized content that addresses socio-economic disparities, a capability our team has mastered through 18 months of on-ground collaboration with Bogotá's Secretaría de Educación.</w:t>
      </w:r>
    </w:p>
    <w:bookmarkEnd w:id="21"/>
    <w:bookmarkStart w:id="22" w:name="Xf3d5228045858bd8b064a606d8faed07da4e0a5"/>
    <w:p>
      <w:pPr>
        <w:pStyle w:val="Heading2"/>
      </w:pPr>
      <w:r>
        <w:t xml:space="preserve">III. Sales Performance Metrics (Colombia Bogotá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(COP)</w:t>
            </w:r>
          </w:p>
        </w:tc>
        <w:tc>
          <w:tcPr/>
          <w:p>
            <w:pPr>
              <w:pStyle w:val="Compact"/>
              <w:jc w:val="left"/>
            </w:pPr>
            <w:r>
              <w:t xml:space="preserve">New Clients Acquired</w:t>
            </w:r>
          </w:p>
        </w:tc>
        <w:tc>
          <w:tcPr/>
          <w:p>
            <w:pPr>
              <w:pStyle w:val="Compact"/>
              <w:jc w:val="left"/>
            </w:pPr>
            <w:r>
              <w:t xml:space="preserve">Market Share in Bogotá</w:t>
            </w:r>
          </w:p>
        </w:tc>
      </w:tr>
      <w:tr>
        <w:tc>
          <w:tcPr/>
          <w:p>
            <w:pPr>
              <w:pStyle w:val="Compact"/>
              <w:jc w:val="left"/>
            </w:pPr>
            <w:r>
              <w:t xml:space="preserve">H1 2023</w:t>
            </w:r>
          </w:p>
        </w:tc>
        <w:tc>
          <w:tcPr/>
          <w:p>
            <w:pPr>
              <w:pStyle w:val="Compact"/>
              <w:jc w:val="left"/>
            </w:pPr>
            <w:r>
              <w:t xml:space="preserve">$89,500,000</w:t>
            </w:r>
          </w:p>
        </w:tc>
        <w:tc>
          <w:tcPr/>
          <w:p>
            <w:pPr>
              <w:pStyle w:val="Compact"/>
              <w:jc w:val="left"/>
            </w:pPr>
            <w:r>
              <w:t xml:space="preserve">14 institutions</w:t>
            </w:r>
          </w:p>
        </w:tc>
        <w:tc>
          <w:tcPr/>
          <w:p>
            <w:pPr>
              <w:pStyle w:val="Compact"/>
              <w:jc w:val="left"/>
            </w:pPr>
            <w:r>
              <w:t xml:space="preserve">21%</w:t>
            </w:r>
          </w:p>
        </w:tc>
      </w:tr>
      <w:tr>
        <w:tc>
          <w:tcPr/>
          <w:p>
            <w:pPr>
              <w:pStyle w:val="Compact"/>
              <w:jc w:val="left"/>
            </w:pPr>
            <w:r>
              <w:t xml:space="preserve">H2 2023</w:t>
            </w:r>
          </w:p>
        </w:tc>
        <w:tc>
          <w:tcPr/>
          <w:p>
            <w:pPr>
              <w:pStyle w:val="Compact"/>
              <w:jc w:val="left"/>
            </w:pPr>
            <w:r>
              <w:t xml:space="preserve">$146,300,000</w:t>
            </w:r>
          </w:p>
        </w:tc>
        <w:tc>
          <w:tcPr/>
          <w:p>
            <w:pPr>
              <w:pStyle w:val="Compact"/>
              <w:jc w:val="left"/>
            </w:pPr>
            <w:r>
              <w:t xml:space="preserve">33 institutions</w:t>
            </w:r>
          </w:p>
        </w:tc>
        <w:tc>
          <w:tcPr/>
          <w:p>
            <w:pPr>
              <w:pStyle w:val="Compact"/>
              <w:jc w:val="left"/>
            </w:pPr>
            <w:r>
              <w:t xml:space="preserve">47%</w:t>
            </w:r>
          </w:p>
        </w:tc>
      </w:tr>
    </w:tbl>
    <w:p>
      <w:pPr>
        <w:pStyle w:val="BodyText"/>
      </w:pPr>
      <w:r>
        <w:t xml:space="preserve">Our Q3-Q4 2023 performance demonstrates accelerated growth in Bogotá's private education sector (92% acquisition rate) and strategic partnerships with municipal programs like "Bogotá Educada." Notably, 68% of new contracts in Colombia Bogotá originated from school network referrals, underscoring our service's reputation for delivering measurable outcomes. The $146.3M Q4 revenue represents a 72% increase over the same period last year—surpassing regional market growth rates by 5x (per Latin American Education Analytics).</w:t>
      </w:r>
    </w:p>
    <w:bookmarkEnd w:id="22"/>
    <w:bookmarkStart w:id="23" w:name="Xc2d498883ef5cd342248e3563979b133339d8a3"/>
    <w:p>
      <w:pPr>
        <w:pStyle w:val="Heading2"/>
      </w:pPr>
      <w:r>
        <w:t xml:space="preserve">IV. Curriculum Developer Value Proposition: Bogotá-Specific Advantages</w:t>
      </w:r>
    </w:p>
    <w:p>
      <w:pPr>
        <w:pStyle w:val="FirstParagraph"/>
      </w:pPr>
      <w:r>
        <w:t xml:space="preserve">Our Curriculum Developer service transcends generic content creation through three Colombia Bogotá-specific differentiators:</w:t>
      </w:r>
    </w:p>
    <w:p>
      <w:pPr>
        <w:numPr>
          <w:ilvl w:val="0"/>
          <w:numId w:val="1001"/>
        </w:numPr>
        <w:pStyle w:val="Compact"/>
      </w:pPr>
      <w:r>
        <w:rPr>
          <w:bCs/>
          <w:b/>
        </w:rPr>
        <w:t xml:space="preserve">Socio-Educational Localization:</w:t>
      </w:r>
      <w:r>
        <w:t xml:space="preserve"> </w:t>
      </w:r>
      <w:r>
        <w:t xml:space="preserve">We integrate Bogotá's unique cultural fabric into curriculum modules—e.g., developing environmental education units based on the city's Andean ecosystem and urban sustainability initiatives, directly addressing municipal education priorities.</w:t>
      </w:r>
    </w:p>
    <w:p>
      <w:pPr>
        <w:numPr>
          <w:ilvl w:val="0"/>
          <w:numId w:val="1001"/>
        </w:numPr>
        <w:pStyle w:val="Compact"/>
      </w:pPr>
      <w:r>
        <w:rPr>
          <w:bCs/>
          <w:b/>
        </w:rPr>
        <w:t xml:space="preserve">Regulatory Precision:</w:t>
      </w:r>
      <w:r>
        <w:t xml:space="preserve"> </w:t>
      </w:r>
      <w:r>
        <w:t xml:space="preserve">All frameworks comply with Colombia's new "Educación para la Vida" standards while accommodating Bogotá's district-specific requirements (e.g., mandatory peace education in post-conflict zones like La Candelaria).</w:t>
      </w:r>
    </w:p>
    <w:p>
      <w:pPr>
        <w:numPr>
          <w:ilvl w:val="0"/>
          <w:numId w:val="1001"/>
        </w:numPr>
        <w:pStyle w:val="Compact"/>
      </w:pPr>
      <w:r>
        <w:rPr>
          <w:bCs/>
          <w:b/>
        </w:rPr>
        <w:t xml:space="preserve">Technology Integration:</w:t>
      </w:r>
      <w:r>
        <w:t xml:space="preserve"> </w:t>
      </w:r>
      <w:r>
        <w:t xml:space="preserve">Our digital curriculum platform is optimized for Bogotá's common infrastructure challenges, featuring offline-first functionality for schools with inconsistent internet access—a critical factor in 62% of Bogotá public schools.</w:t>
      </w:r>
    </w:p>
    <w:bookmarkEnd w:id="23"/>
    <w:bookmarkStart w:id="24" w:name="Xb4adeeac6ca18e3d0397bfe0540d0edcc49a76e"/>
    <w:p>
      <w:pPr>
        <w:pStyle w:val="Heading2"/>
      </w:pPr>
      <w:r>
        <w:t xml:space="preserve">V. Addressing Colombia Bogotá Market Challenges</w:t>
      </w:r>
    </w:p>
    <w:p>
      <w:pPr>
        <w:pStyle w:val="FirstParagraph"/>
      </w:pPr>
      <w:r>
        <w:t xml:space="preserve">Our sales strategy has proactively countered key regional barriers:</w:t>
      </w:r>
    </w:p>
    <w:p>
      <w:pPr>
        <w:numPr>
          <w:ilvl w:val="0"/>
          <w:numId w:val="1002"/>
        </w:numPr>
        <w:pStyle w:val="Compact"/>
      </w:pPr>
      <w:r>
        <w:rPr>
          <w:bCs/>
          <w:b/>
        </w:rPr>
        <w:t xml:space="preserve">Cultural Adaptation:</w:t>
      </w:r>
      <w:r>
        <w:t xml:space="preserve"> </w:t>
      </w:r>
      <w:r>
        <w:t xml:space="preserve">Trained Curriculum Developers undergo mandatory Bogotá immersion workshops to understand local teaching dynamics, avoiding the "one-size-fits-all" approach that plagued prior vendors.</w:t>
      </w:r>
    </w:p>
    <w:p>
      <w:pPr>
        <w:numPr>
          <w:ilvl w:val="0"/>
          <w:numId w:val="1002"/>
        </w:numPr>
        <w:pStyle w:val="Compact"/>
      </w:pPr>
      <w:r>
        <w:rPr>
          <w:bCs/>
          <w:b/>
        </w:rPr>
        <w:t xml:space="preserve">Stakeholder Alignment:</w:t>
      </w:r>
      <w:r>
        <w:t xml:space="preserve"> </w:t>
      </w:r>
      <w:r>
        <w:t xml:space="preserve">We facilitate co-creation sessions with Bogotá's School Directors' Association, ensuring curriculum meets both teacher needs and municipal education goals.</w:t>
      </w:r>
    </w:p>
    <w:p>
      <w:pPr>
        <w:numPr>
          <w:ilvl w:val="0"/>
          <w:numId w:val="1002"/>
        </w:numPr>
        <w:pStyle w:val="Compact"/>
      </w:pPr>
      <w:r>
        <w:rPr>
          <w:bCs/>
          <w:b/>
        </w:rPr>
        <w:t xml:space="preserve">Tech Accessibility:</w:t>
      </w:r>
      <w:r>
        <w:t xml:space="preserve"> </w:t>
      </w:r>
      <w:r>
        <w:t xml:space="preserve">Developed low-bandwidth learning modules compatible with Colombia's most common devices (e.g., older Android tablets used in public schools), eliminating a major adoption hurdle.</w:t>
      </w:r>
    </w:p>
    <w:bookmarkEnd w:id="24"/>
    <w:bookmarkStart w:id="25" w:name="Xb3d1640833e90f852d40a37c65d936e3f903281"/>
    <w:p>
      <w:pPr>
        <w:pStyle w:val="Heading2"/>
      </w:pPr>
      <w:r>
        <w:t xml:space="preserve">VI. Competitive Differentiation: Beyond Standard Curriculum Development</w:t>
      </w:r>
    </w:p>
    <w:p>
      <w:pPr>
        <w:pStyle w:val="FirstParagraph"/>
      </w:pPr>
      <w:r>
        <w:t xml:space="preserve">While competitors offer generic curriculum templates, our Bogotá-specific approach creates undeniable value. For instance, our "Urban Youth Engagement" module—developed with input from 15 Bogotá schools—increased student participation by 41% in pilot programs. This localized intelligence directly translates to higher client retention (89% YoY) versus industry averages (63%). Our Curriculum Developer team's deep understanding of Colombia Bogotá's educational terrain is the core reason for our competitive edge.</w:t>
      </w:r>
    </w:p>
    <w:bookmarkEnd w:id="25"/>
    <w:bookmarkStart w:id="26" w:name="X2df9ddfe67aa09a256835191b2f335e891dee37"/>
    <w:p>
      <w:pPr>
        <w:pStyle w:val="Heading2"/>
      </w:pPr>
      <w:r>
        <w:t xml:space="preserve">VII. Strategic Recommendations for Colombia Bogotá Growth</w:t>
      </w:r>
    </w:p>
    <w:p>
      <w:pPr>
        <w:numPr>
          <w:ilvl w:val="0"/>
          <w:numId w:val="1003"/>
        </w:numPr>
        <w:pStyle w:val="Compact"/>
      </w:pPr>
      <w:r>
        <w:rPr>
          <w:bCs/>
          <w:b/>
        </w:rPr>
        <w:t xml:space="preserve">Scale Municipal Partnerships:</w:t>
      </w:r>
      <w:r>
        <w:t xml:space="preserve"> </w:t>
      </w:r>
      <w:r>
        <w:t xml:space="preserve">Target collaboration with Secretaría de Educación on citywide curriculum initiatives—particularly in high-need communes like Ciudad Bolívar, where we've secured a pilot project.</w:t>
      </w:r>
    </w:p>
    <w:p>
      <w:pPr>
        <w:numPr>
          <w:ilvl w:val="0"/>
          <w:numId w:val="1003"/>
        </w:numPr>
        <w:pStyle w:val="Compact"/>
      </w:pPr>
      <w:r>
        <w:rPr>
          <w:bCs/>
          <w:b/>
        </w:rPr>
        <w:t xml:space="preserve">Develop Bogotá-Specific Certification:</w:t>
      </w:r>
      <w:r>
        <w:t xml:space="preserve"> </w:t>
      </w:r>
      <w:r>
        <w:t xml:space="preserve">Create an accredited "Bogotá Curriculum Developer" certification for local educators to expand our service reach through teacher networks.</w:t>
      </w:r>
    </w:p>
    <w:p>
      <w:pPr>
        <w:numPr>
          <w:ilvl w:val="0"/>
          <w:numId w:val="1003"/>
        </w:numPr>
        <w:pStyle w:val="Compact"/>
      </w:pPr>
      <w:r>
        <w:rPr>
          <w:bCs/>
          <w:b/>
        </w:rPr>
        <w:t xml:space="preserve">Leverage Digital Infrastructure:</w:t>
      </w:r>
      <w:r>
        <w:t xml:space="preserve"> </w:t>
      </w:r>
      <w:r>
        <w:t xml:space="preserve">Partner with Bogotá's new municipal digital platform (Bogotá Digital) to embed our curriculum solutions directly into existing school management systems.</w:t>
      </w:r>
    </w:p>
    <w:bookmarkEnd w:id="26"/>
    <w:bookmarkStart w:id="27" w:name="X12f76e33e82761624d86544018fd34a4c0cdc07"/>
    <w:p>
      <w:pPr>
        <w:pStyle w:val="Heading2"/>
      </w:pPr>
      <w:r>
        <w:t xml:space="preserve">VIII. Conclusion: The Future of Curriculum Development in Colombia Bogotá</w:t>
      </w:r>
    </w:p>
    <w:p>
      <w:pPr>
        <w:pStyle w:val="FirstParagraph"/>
      </w:pPr>
      <w:r>
        <w:t xml:space="preserve">The Sales Report confirms that Colombia Bogotá has become our most valuable market for Curriculum Developer services, representing 76% of Latin American revenue and demonstrating the highest client satisfaction (4.8/5) in our global portfolio. As Bogotá accelerates its "Education for All" initiative through 2025, the demand for locally crafted educational content will only intensify. Our strategic focus on embedding our Curriculum Developer expertise within Bogotá's educational ecosystem positions us not merely as a vendor, but as an indispensable partner in Colombia's academic transformation.</w:t>
      </w:r>
    </w:p>
    <w:p>
      <w:pPr>
        <w:pStyle w:val="BodyText"/>
      </w:pPr>
      <w:r>
        <w:t xml:space="preserve">With 19 new school contracts in negotiation across key Bogotá districts and projected market share exceeding 65% by Q2 2024, this Sales Report validates our investment in Colombia Bogotá. We recommend doubling down on hyper-localized curriculum development to capitalize on the city's position as Colombia's education innovation hub—ensuring every Curriculum Developer solution embodies the spirit of Bogotá's diverse, dynamic learning community.</w:t>
      </w:r>
    </w:p>
    <w:p>
      <w:pPr>
        <w:pStyle w:val="BodyText"/>
      </w:pPr>
      <w:r>
        <w:rPr>
          <w:bCs/>
          <w:b/>
        </w:rPr>
        <w:t xml:space="preserve">Appendix:</w:t>
      </w:r>
      <w:r>
        <w:t xml:space="preserve"> </w:t>
      </w:r>
      <w:r>
        <w:t xml:space="preserve">Full client case studies and Bogotá-specific pedagogical impact data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Colombia Bogotá Market Analysis</dc:title>
  <dc:creator/>
  <dc:language>en</dc:language>
  <cp:keywords/>
  <dcterms:created xsi:type="dcterms:W3CDTF">2026-07-23T15:04:39Z</dcterms:created>
  <dcterms:modified xsi:type="dcterms:W3CDTF">2026-07-23T15:04:39Z</dcterms:modified>
</cp:coreProperties>
</file>

<file path=docProps/custom.xml><?xml version="1.0" encoding="utf-8"?>
<Properties xmlns="http://schemas.openxmlformats.org/officeDocument/2006/custom-properties" xmlns:vt="http://schemas.openxmlformats.org/officeDocument/2006/docPropsVTypes"/>
</file>