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006097fedbb412d5e08c374e72a5ed0bc32bb40"/>
    <w:p>
      <w:pPr>
        <w:pStyle w:val="Heading1"/>
      </w:pPr>
      <w:r>
        <w:t xml:space="preserve">Sales Report: Strategic Expansion of Curriculum Developer Services in Germany Munich (Q3 2023)</w:t>
      </w:r>
    </w:p>
    <w:p>
      <w:pPr>
        <w:pStyle w:val="FirstParagraph"/>
      </w:pPr>
      <w:r>
        <w:rPr>
          <w:bCs/>
          <w:b/>
        </w:rPr>
        <w:t xml:space="preserve">Prepared For:</w:t>
      </w:r>
      <w:r>
        <w:t xml:space="preserve"> </w:t>
      </w:r>
      <w:r>
        <w:t xml:space="preserve">Executive Leadership, Global Education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successful deployment and market penetration of our specialized Curriculum Developer services across Munich's dynamic education ecosystem. With Germany's federal states (Länder) prioritizing STEM education reforms and vocational training modernization, Munich has emerged as a critical growth hub for educational innovation. Our strategic focus on delivering tailor-made curriculum solutions to Bavarian institutions yielded a 32% year-over-year increase in sales revenue ($1.85M), securing five major contracts with key stakeholders including Munich University of Applied Sciences, the Bavarian State Ministry of Education, and leading private edtech firms. This report validates Munich's position as Germany's premier market for advanced curriculum development services.</w:t>
      </w:r>
    </w:p>
    <w:bookmarkEnd w:id="20"/>
    <w:bookmarkStart w:id="21" w:name="X4d5a3ae02ddd2c449762d7911610c67b9eeb669"/>
    <w:p>
      <w:pPr>
        <w:pStyle w:val="Heading2"/>
      </w:pPr>
      <w:r>
        <w:t xml:space="preserve">II. Market Context: Why Curriculum Development in Germany Munich?</w:t>
      </w:r>
    </w:p>
    <w:p>
      <w:pPr>
        <w:pStyle w:val="FirstParagraph"/>
      </w:pPr>
      <w:r>
        <w:t xml:space="preserve">Munich represents the epicenter of educational transformation in Germany, where policymakers are aggressively pursuing the "Digital School 4.0" initiative and vocational training modernization under the federal government's Industry 4.0 strategy. As Germany's third-largest city with 1.5 million inhabitants and home to 67% of Bavaria's tertiary education institutions, Munich demands curriculum solutions that bridge academic rigor with industry relevance – a precise match for our Curriculum Developer expertise.</w:t>
      </w:r>
    </w:p>
    <w:p>
      <w:pPr>
        <w:pStyle w:val="BodyText"/>
      </w:pPr>
      <w:r>
        <w:t xml:space="preserve">The Bavarian government has allocated €320M (2023-2025) specifically for digital curriculum overhauls, creating an urgent market need. Our localized understanding of Germany's dual education system and Munich's unique academic landscape (including the renowned Technical University of Munich and 164 vocational schools) positions us to deliver compliance-focused solutions that meet strict German educational standards (e.g., Bildungspläne, Qualifikationsrahmen). This contextual mastery directly drives our sales conversion rate – 68% higher than national averages in Munich.</w:t>
      </w:r>
    </w:p>
    <w:bookmarkEnd w:id="21"/>
    <w:bookmarkStart w:id="22" w:name="X5f9e650365d695ce279265ab05df62a8fa4061e"/>
    <w:p>
      <w:pPr>
        <w:pStyle w:val="Heading2"/>
      </w:pPr>
      <w:r>
        <w:t xml:space="preserve">III. Sales Performance: Curriculum Developer Demand in Munich</w:t>
      </w:r>
    </w:p>
    <w:p>
      <w:pPr>
        <w:pStyle w:val="FirstParagraph"/>
      </w:pPr>
      <w:r>
        <w:t xml:space="preserve">Our Q3 sales performance demonstrates exceptional market alignment:</w:t>
      </w:r>
    </w:p>
    <w:p>
      <w:pPr>
        <w:numPr>
          <w:ilvl w:val="0"/>
          <w:numId w:val="1001"/>
        </w:numPr>
        <w:pStyle w:val="Compact"/>
      </w:pPr>
      <w:r>
        <w:rPr>
          <w:bCs/>
          <w:b/>
        </w:rPr>
        <w:t xml:space="preserve">Contract Value Growth:</w:t>
      </w:r>
      <w:r>
        <w:t xml:space="preserve"> </w:t>
      </w:r>
      <w:r>
        <w:t xml:space="preserve">€1.85M (vs. €1.40M in Q2), driven by three major multi-year contracts</w:t>
      </w:r>
    </w:p>
    <w:p>
      <w:pPr>
        <w:numPr>
          <w:ilvl w:val="0"/>
          <w:numId w:val="1001"/>
        </w:numPr>
        <w:pStyle w:val="Compact"/>
      </w:pPr>
      <w:r>
        <w:rPr>
          <w:bCs/>
          <w:b/>
        </w:rPr>
        <w:t xml:space="preserve">New Client Acquisition:</w:t>
      </w:r>
      <w:r>
        <w:t xml:space="preserve"> </w:t>
      </w:r>
      <w:r>
        <w:t xml:space="preserve">5 new Munich-based institutions (3 public universities, 2 private academies)</w:t>
      </w:r>
    </w:p>
    <w:p>
      <w:pPr>
        <w:numPr>
          <w:ilvl w:val="0"/>
          <w:numId w:val="1001"/>
        </w:numPr>
        <w:pStyle w:val="Compact"/>
      </w:pPr>
      <w:r>
        <w:rPr>
          <w:bCs/>
          <w:b/>
        </w:rPr>
        <w:t xml:space="preserve">Cross-Sell Success:</w:t>
      </w:r>
      <w:r>
        <w:t xml:space="preserve"> </w:t>
      </w:r>
      <w:r>
        <w:t xml:space="preserve">72% of clients expanded scope to include German language integration modules</w:t>
      </w:r>
    </w:p>
    <w:p>
      <w:pPr>
        <w:numPr>
          <w:ilvl w:val="0"/>
          <w:numId w:val="1001"/>
        </w:numPr>
        <w:pStyle w:val="Compact"/>
      </w:pPr>
      <w:r>
        <w:rPr>
          <w:bCs/>
          <w:b/>
        </w:rPr>
        <w:t xml:space="preserve">Closing Rate:</w:t>
      </w:r>
      <w:r>
        <w:t xml:space="preserve"> </w:t>
      </w:r>
      <w:r>
        <w:t xml:space="preserve">48% (vs. industry average of 35%) due to our Germany-specific curriculum frameworks</w:t>
      </w:r>
    </w:p>
    <w:p>
      <w:pPr>
        <w:pStyle w:val="FirstParagraph"/>
      </w:pPr>
      <w:r>
        <w:t xml:space="preserve">The standout achievement is our €600K contract with the Bavarian State Ministry of Education for "Digital Competency Frameworks" – the largest single Curriculum Developer engagement in Munich history. This project requires developing 12 modular curricula aligning with Germany's national standards (e.g., Rahmenlehrplan für die Sekundarstufe II) and will be implemented across 380 schools by Q2 2024.</w:t>
      </w:r>
    </w:p>
    <w:bookmarkEnd w:id="22"/>
    <w:bookmarkStart w:id="23" w:name="Xda5b98df39cd5ef4705d04b86071ca5df2253a5"/>
    <w:p>
      <w:pPr>
        <w:pStyle w:val="Heading2"/>
      </w:pPr>
      <w:r>
        <w:t xml:space="preserve">IV. Key Projects: Curriculum Developer Impact in Munich</w:t>
      </w:r>
    </w:p>
    <w:p>
      <w:pPr>
        <w:pStyle w:val="FirstParagraph"/>
      </w:pPr>
      <w:r>
        <w:rPr>
          <w:bCs/>
          <w:b/>
        </w:rPr>
        <w:t xml:space="preserve">Project 1: Technical University of Munich (TUM) – Industry-Academia Bridge Program</w:t>
      </w:r>
    </w:p>
    <w:p>
      <w:pPr>
        <w:pStyle w:val="BodyText"/>
      </w:pPr>
      <w:r>
        <w:t xml:space="preserve">Our Curriculum Developer team designed a new engineering curriculum integrating Siemens' industrial IoT platforms with TUM's bachelor's program. This solution reduced student-to-mentor ratios by 40% while increasing industry placement rates by 28%. The project secured a follow-on contract for €320K, demonstrating Munich institutions' trust in our pedagogical innovation.</w:t>
      </w:r>
    </w:p>
    <w:p>
      <w:pPr>
        <w:pStyle w:val="BodyText"/>
      </w:pPr>
      <w:r>
        <w:rPr>
          <w:bCs/>
          <w:b/>
        </w:rPr>
        <w:t xml:space="preserve">Project 2: Munich Chamber of Commerce – Vocational Training Modernization</w:t>
      </w:r>
    </w:p>
    <w:p>
      <w:pPr>
        <w:pStyle w:val="BodyText"/>
      </w:pPr>
      <w:r>
        <w:t xml:space="preserve">We developed digital micro-credentials for 15 vocational pathways (e.g., Mechatronics, Digital Marketing) certified by the German Federal Institute for Vocational Education. This curriculum solution increased apprentice completion rates by 35% across Munich's 27 trade associations, directly addressing Bavaria's critical skilled labor shortage.</w:t>
      </w:r>
    </w:p>
    <w:bookmarkEnd w:id="23"/>
    <w:bookmarkStart w:id="24" w:name="Xc6a94e5902268c9249c4e3b31eb694fa157d8e4"/>
    <w:p>
      <w:pPr>
        <w:pStyle w:val="Heading2"/>
      </w:pPr>
      <w:r>
        <w:t xml:space="preserve">V. Competitive Differentiation: Why Munich Chose Our Curriculum Developers</w:t>
      </w:r>
    </w:p>
    <w:p>
      <w:pPr>
        <w:pStyle w:val="FirstParagraph"/>
      </w:pPr>
      <w:r>
        <w:t xml:space="preserve">Munich clients prioritize German-specific expertise over generic international solutions. Our unique value proposition includes:</w:t>
      </w:r>
    </w:p>
    <w:p>
      <w:pPr>
        <w:numPr>
          <w:ilvl w:val="0"/>
          <w:numId w:val="1002"/>
        </w:numPr>
        <w:pStyle w:val="Compact"/>
      </w:pPr>
      <w:r>
        <w:rPr>
          <w:bCs/>
          <w:b/>
        </w:rPr>
        <w:t xml:space="preserve">Regulatory Mastery:</w:t>
      </w:r>
      <w:r>
        <w:t xml:space="preserve"> </w:t>
      </w:r>
      <w:r>
        <w:t xml:space="preserve">All our Curriculum Developers hold state certification (Staatliche Anerkennung) and understand Bavarian education law</w:t>
      </w:r>
    </w:p>
    <w:p>
      <w:pPr>
        <w:numPr>
          <w:ilvl w:val="0"/>
          <w:numId w:val="1002"/>
        </w:numPr>
        <w:pStyle w:val="Compact"/>
      </w:pPr>
      <w:r>
        <w:rPr>
          <w:bCs/>
          <w:b/>
        </w:rPr>
        <w:t xml:space="preserve">Cultural Integration:</w:t>
      </w:r>
      <w:r>
        <w:t xml:space="preserve"> </w:t>
      </w:r>
      <w:r>
        <w:t xml:space="preserve">Localized content respecting Germany's "Lehrplan" structure and classroom culture</w:t>
      </w:r>
    </w:p>
    <w:p>
      <w:pPr>
        <w:numPr>
          <w:ilvl w:val="0"/>
          <w:numId w:val="1002"/>
        </w:numPr>
        <w:pStyle w:val="Compact"/>
      </w:pPr>
      <w:r>
        <w:rPr>
          <w:bCs/>
          <w:b/>
        </w:rPr>
        <w:t xml:space="preserve">Industry Partnerships:</w:t>
      </w:r>
      <w:r>
        <w:t xml:space="preserve"> </w:t>
      </w:r>
      <w:r>
        <w:t xml:space="preserve">Direct access to Munich-based industry leaders (Bosch, BMW, Siemens) for real-world curriculum validation</w:t>
      </w:r>
    </w:p>
    <w:p>
      <w:pPr>
        <w:numPr>
          <w:ilvl w:val="0"/>
          <w:numId w:val="1002"/>
        </w:numPr>
        <w:pStyle w:val="Compact"/>
      </w:pPr>
      <w:r>
        <w:rPr>
          <w:bCs/>
          <w:b/>
        </w:rPr>
        <w:t xml:space="preserve">Linguistic Precision:</w:t>
      </w:r>
      <w:r>
        <w:t xml:space="preserve"> </w:t>
      </w:r>
      <w:r>
        <w:t xml:space="preserve">Curriculum materials delivered in formal German with regional dialect awareness</w:t>
      </w:r>
    </w:p>
    <w:p>
      <w:pPr>
        <w:pStyle w:val="FirstParagraph"/>
      </w:pPr>
      <w:r>
        <w:t xml:space="preserve">This differentiation reduced our sales cycle by 37% in Munich – a critical advantage over competitors using standardized global templates.</w:t>
      </w:r>
    </w:p>
    <w:bookmarkEnd w:id="24"/>
    <w:bookmarkStart w:id="25" w:name="vi.-challenges-strategic-solutions"/>
    <w:p>
      <w:pPr>
        <w:pStyle w:val="Heading2"/>
      </w:pPr>
      <w:r>
        <w:t xml:space="preserve">VI. Challenges &amp; Strategic Solutions</w:t>
      </w:r>
    </w:p>
    <w:p>
      <w:pPr>
        <w:pStyle w:val="FirstParagraph"/>
      </w:pPr>
      <w:r>
        <w:t xml:space="preserve">Initial market entry faced skepticism about "foreign curriculum approaches." Our solution was deploying dedicated Munich-based Curriculum Developers (with local education credentials) who conducted 37 joint workshops with Bavarian educators. This fostered trust and allowed us to co-create solutions meeting Germany's stringent pedagogical standards. The resulting "Munich Education Partnership Model" now serves as our global sales template.</w:t>
      </w:r>
    </w:p>
    <w:bookmarkEnd w:id="25"/>
    <w:bookmarkStart w:id="26" w:name="X7ad1aaa506d23810fe43a5ac70a1d374e67ec4e"/>
    <w:p>
      <w:pPr>
        <w:pStyle w:val="Heading2"/>
      </w:pPr>
      <w:r>
        <w:t xml:space="preserve">VII. Future Outlook: Scaling Curriculum Development in Germany Munich</w:t>
      </w:r>
    </w:p>
    <w:p>
      <w:pPr>
        <w:pStyle w:val="FirstParagraph"/>
      </w:pPr>
      <w:r>
        <w:t xml:space="preserve">Based on Q3 success, we project 45% revenue growth for 2024 with Munich as the cornerstone of our German expansion. Key initiatives include:</w:t>
      </w:r>
    </w:p>
    <w:p>
      <w:pPr>
        <w:numPr>
          <w:ilvl w:val="0"/>
          <w:numId w:val="1003"/>
        </w:numPr>
        <w:pStyle w:val="Compact"/>
      </w:pPr>
      <w:r>
        <w:rPr>
          <w:bCs/>
          <w:b/>
        </w:rPr>
        <w:t xml:space="preserve">Establishing a Munich Curriculum Innovation Hub:</w:t>
      </w:r>
      <w:r>
        <w:t xml:space="preserve"> </w:t>
      </w:r>
      <w:r>
        <w:t xml:space="preserve">Opening a physical office at the Bavarian State Education Center by Q1 2024 to accelerate local engagement</w:t>
      </w:r>
    </w:p>
    <w:p>
      <w:pPr>
        <w:numPr>
          <w:ilvl w:val="0"/>
          <w:numId w:val="1003"/>
        </w:numPr>
        <w:pStyle w:val="Compact"/>
      </w:pPr>
      <w:r>
        <w:rPr>
          <w:bCs/>
          <w:b/>
        </w:rPr>
        <w:t xml:space="preserve">Government Contract Pipeline:</w:t>
      </w:r>
      <w:r>
        <w:t xml:space="preserve"> </w:t>
      </w:r>
      <w:r>
        <w:t xml:space="preserve">Targeting €4.2M in ministry contracts for Germany's "Digital Education Strategy" (Q4 2023)</w:t>
      </w:r>
    </w:p>
    <w:p>
      <w:pPr>
        <w:numPr>
          <w:ilvl w:val="0"/>
          <w:numId w:val="1003"/>
        </w:numPr>
        <w:pStyle w:val="Compact"/>
      </w:pPr>
      <w:r>
        <w:rPr>
          <w:bCs/>
          <w:b/>
        </w:rPr>
        <w:t xml:space="preserve">Industry-Integrated Curriculum Ecosystem:</w:t>
      </w:r>
      <w:r>
        <w:t xml:space="preserve"> </w:t>
      </w:r>
      <w:r>
        <w:t xml:space="preserve">Partnering with Munich-based tech firms to develop real-time industry-aligned learning modules</w:t>
      </w:r>
    </w:p>
    <w:p>
      <w:pPr>
        <w:pStyle w:val="FirstParagraph"/>
      </w:pPr>
      <w:r>
        <w:t xml:space="preserve">Munich's strategic importance is further amplified by its role in the EU's Erasmus+ program. Our Curriculum Developer services now position us as the preferred partner for cross-border educational initiatives requiring German market expertise.</w:t>
      </w:r>
    </w:p>
    <w:bookmarkEnd w:id="26"/>
    <w:bookmarkStart w:id="27" w:name="viii.-conclusion-the-munich-imperative"/>
    <w:p>
      <w:pPr>
        <w:pStyle w:val="Heading2"/>
      </w:pPr>
      <w:r>
        <w:t xml:space="preserve">VIII. Conclusion: The Munich Imperative</w:t>
      </w:r>
    </w:p>
    <w:p>
      <w:pPr>
        <w:pStyle w:val="FirstParagraph"/>
      </w:pPr>
      <w:r>
        <w:t xml:space="preserve">The Germany Munich market has proven to be both a catalyst and validation point for our global Curriculum Developer service model. Our Q3 results – exceeding revenue targets by 19% and establishing three strategic institutional partnerships – confirm that specialized, locally grounded curriculum development is the key differentiator in Germany's education sector. As Bavaria accelerates its digital education agenda, Munich will remain the epicenter where innovative Curriculum Developer solutions directly drive national educational transformation.</w:t>
      </w:r>
    </w:p>
    <w:p>
      <w:pPr>
        <w:pStyle w:val="BodyText"/>
      </w:pPr>
      <w:r>
        <w:t xml:space="preserve">By doubling down on Munich-specific expertise, we are not merely selling services – we are embedding our Curriculum Developer brand into the heart of Germany's educational future. The data is clear: In a market demanding regulatory precision and cultural intelligence, our Munich operations deliver unmatched sales velocity and client retention. This momentum positions us to capture 22% of Bavaria's curriculum development market by 2025, making Germany Munich the most critical growth engine in our global portfolio.</w:t>
      </w:r>
    </w:p>
    <w:p>
      <w:pPr>
        <w:pStyle w:val="BodyText"/>
      </w:pPr>
      <w:r>
        <w:rPr>
          <w:bCs/>
          <w:b/>
        </w:rPr>
        <w:t xml:space="preserve">Prepared By:</w:t>
      </w:r>
      <w:r>
        <w:t xml:space="preserve"> </w:t>
      </w:r>
      <w:r>
        <w:t xml:space="preserve">Global Education Sales Division</w:t>
      </w:r>
      <w:r>
        <w:br/>
      </w:r>
      <w:r>
        <w:rPr>
          <w:bCs/>
          <w:b/>
        </w:rPr>
        <w:t xml:space="preserve">Contact:</w:t>
      </w:r>
      <w:r>
        <w:t xml:space="preserve"> </w:t>
      </w:r>
      <w:r>
        <w:t xml:space="preserve">sales@curriculumglobal.de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Germany Munich</dc:title>
  <dc:creator/>
  <dc:language>en</dc:language>
  <cp:keywords/>
  <dcterms:created xsi:type="dcterms:W3CDTF">2026-04-21T13:05:56Z</dcterms:created>
  <dcterms:modified xsi:type="dcterms:W3CDTF">2026-04-21T13:05:56Z</dcterms:modified>
</cp:coreProperties>
</file>

<file path=docProps/custom.xml><?xml version="1.0" encoding="utf-8"?>
<Properties xmlns="http://schemas.openxmlformats.org/officeDocument/2006/custom-properties" xmlns:vt="http://schemas.openxmlformats.org/officeDocument/2006/docPropsVTypes"/>
</file>