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Sales</w:t>
      </w:r>
      <w:r>
        <w:t xml:space="preserve"> </w:t>
      </w:r>
      <w:r>
        <w:t xml:space="preserve">Report:</w:t>
      </w:r>
      <w:r>
        <w:t xml:space="preserve"> </w:t>
      </w:r>
      <w:r>
        <w:t xml:space="preserve">Japan</w:t>
      </w:r>
      <w:r>
        <w:t xml:space="preserve"> </w:t>
      </w:r>
      <w:r>
        <w:t xml:space="preserve">Tokyo</w:t>
      </w:r>
      <w:r>
        <w:t xml:space="preserve"> </w:t>
      </w:r>
      <w:r>
        <w:t xml:space="preserve">Market</w:t>
      </w:r>
    </w:p>
    <w:bookmarkStart w:id="32" w:name="X4a2a9537171962171095d4bd14a5411f3bd218c"/>
    <w:p>
      <w:pPr>
        <w:pStyle w:val="Heading1"/>
      </w:pPr>
      <w:r>
        <w:t xml:space="preserve">Sales Report: Curriculum Developer Performance in Japan Tokyo Market</w:t>
      </w:r>
    </w:p>
    <w:bookmarkStart w:id="20" w:name="executive-summary"/>
    <w:p>
      <w:pPr>
        <w:pStyle w:val="Heading2"/>
      </w:pPr>
      <w:r>
        <w:t xml:space="preserve">Executive Summary</w:t>
      </w:r>
    </w:p>
    <w:p>
      <w:pPr>
        <w:pStyle w:val="FirstParagraph"/>
      </w:pPr>
      <w:r>
        <w:t xml:space="preserve">This comprehensive Sales Report details the strategic performance and market positioning of our Curriculum Developer services within the Japan Tokyo education sector. As a leading global provider of customized educational solutions, we have witnessed remarkable growth in demand for specialized Curriculum Developer expertise since entering the Tokyo market in Q1 2023. This report confirms that our tailored approach to curriculum design has achieved a 78% client retention rate and generated ¥142 million in revenue within Tokyo's competitive academic landscape during FY 2023. The integration of Japanese educational standards with international pedagogical frameworks has proven pivotal to our success, establishing the Curriculum Developer role as an indispensable asset for institutions seeking global competitiveness.</w:t>
      </w:r>
    </w:p>
    <w:p>
      <w:pPr>
        <w:pStyle w:val="BodyText"/>
      </w:pPr>
      <w:r>
        <w:rPr>
          <w:bCs/>
          <w:b/>
        </w:rPr>
        <w:t xml:space="preserve">Key Achievement:</w:t>
      </w:r>
      <w:r>
        <w:t xml:space="preserve"> </w:t>
      </w:r>
      <w:r>
        <w:t xml:space="preserve">Our Curriculum Developer team in Japan Tokyo secured 12 new institutional contracts within Q3 2023 alone, representing a 47% year-over-year growth in sales pipeline velocity compared to previous fiscal years.</w:t>
      </w:r>
    </w:p>
    <w:bookmarkEnd w:id="20"/>
    <w:bookmarkStart w:id="23" w:name="Xf79c1cac4a021ab267695e583f13fd107101e0c"/>
    <w:p>
      <w:pPr>
        <w:pStyle w:val="Heading2"/>
      </w:pPr>
      <w:r>
        <w:t xml:space="preserve">Market Analysis: Tokyo's Curriculum Development Demand</w:t>
      </w:r>
    </w:p>
    <w:p>
      <w:pPr>
        <w:pStyle w:val="FirstParagraph"/>
      </w:pPr>
      <w:r>
        <w:t xml:space="preserve">The Japan Tokyo education market has undergone significant transformation driven by three critical factors: the Ministry of Education's 2021 curriculum reforms emphasizing "Critical Thinking Skills," increasing international student enrollment at Japanese universities (up 34% since 2020), and heightened corporate demand for workforce-ready graduates. This environment has created unprecedented need for specialized Curriculum Developers who understand both Japan's cultural educational context and global industry requirements.</w:t>
      </w:r>
    </w:p>
    <w:bookmarkStart w:id="21" w:name="competitive-landscape-in-tokyo"/>
    <w:p>
      <w:pPr>
        <w:pStyle w:val="Heading3"/>
      </w:pPr>
      <w:r>
        <w:t xml:space="preserve">Competitive Landscape in Tokyo</w:t>
      </w:r>
    </w:p>
    <w:p>
      <w:pPr>
        <w:pStyle w:val="FirstParagraph"/>
      </w:pPr>
      <w:r>
        <w:t xml:space="preserve">Our analysis reveals Tokyo's curriculum development market is currently dominated by three player types: traditional Japanese textbook publishers (holding 52% market share), international edtech firms (28%), and specialized independent Curriculum Developers like ours (20%). What differentiates our Japan Tokyo operation is our deep localization strategy. Our Curriculum Developers spend 100+ hours annually engaging with Tokyo's Ministry of Education guidelines, local school principals, and cultural consultants to ensure all content aligns with</w:t>
      </w:r>
      <w:r>
        <w:t xml:space="preserve"> </w:t>
      </w:r>
      <w:r>
        <w:rPr>
          <w:iCs/>
          <w:i/>
        </w:rPr>
        <w:t xml:space="preserve">shūshoku kyōiku</w:t>
      </w:r>
      <w:r>
        <w:t xml:space="preserve"> </w:t>
      </w:r>
      <w:r>
        <w:t xml:space="preserve">(vocational education) standards while integrating Western project-based learning methodologies.</w:t>
      </w:r>
    </w:p>
    <w:bookmarkEnd w:id="21"/>
    <w:bookmarkStart w:id="22" w:name="client-acquisition-trends"/>
    <w:p>
      <w:pPr>
        <w:pStyle w:val="Heading3"/>
      </w:pPr>
      <w:r>
        <w:t xml:space="preserve">Client Acquisition Trends</w:t>
      </w:r>
    </w:p>
    <w:p>
      <w:pPr>
        <w:pStyle w:val="FirstParagraph"/>
      </w:pPr>
      <w:r>
        <w:t xml:space="preserve">Data from our Tokyo office indicates a 63% increase in inquiries about Curriculum Developer services since the introduction of Japan's new "Global Human Resources Development" tax incentives. Key clients include Tokyo Metropolitan Government schools (28%), private international academies (41%), and corporate training divisions at major Japanese conglomerates like Mitsubishi and Sony (31%). The most sought-after service is our</w:t>
      </w:r>
      <w:r>
        <w:t xml:space="preserve"> </w:t>
      </w:r>
      <w:r>
        <w:rPr>
          <w:iCs/>
          <w:i/>
        </w:rPr>
        <w:t xml:space="preserve">Global Competency Framework</w:t>
      </w:r>
      <w:r>
        <w:t xml:space="preserve">, which prepares students for both Japanese university entrance exams and overseas higher education.</w:t>
      </w:r>
    </w:p>
    <w:bookmarkEnd w:id="22"/>
    <w:bookmarkEnd w:id="23"/>
    <w:bookmarkStart w:id="26" w:name="Xb3af7b34a1b4f6ac78a46b7d0d6b13488f1721c"/>
    <w:p>
      <w:pPr>
        <w:pStyle w:val="Heading2"/>
      </w:pPr>
      <w:r>
        <w:t xml:space="preserve">Sales Performance Breakdown: Curriculum Developer Metrics</w:t>
      </w:r>
    </w:p>
    <w:bookmarkStart w:id="24" w:name="revenue-impact-tokyo-office-fy-2023"/>
    <w:p>
      <w:pPr>
        <w:pStyle w:val="Heading3"/>
      </w:pPr>
      <w:r>
        <w:t xml:space="preserve">Revenue Impact (Tokyo Office, FY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w:t>
            </w:r>
          </w:p>
        </w:tc>
        <w:tc>
          <w:tcPr/>
          <w:p>
            <w:pPr>
              <w:pStyle w:val="Compact"/>
              <w:jc w:val="left"/>
            </w:pPr>
            <w:r>
              <w:t xml:space="preserve">YoY Growth</w:t>
            </w:r>
          </w:p>
        </w:tc>
        <w:tc>
          <w:tcPr/>
          <w:p>
            <w:pPr>
              <w:pStyle w:val="Compact"/>
              <w:jc w:val="left"/>
            </w:pPr>
            <w:r>
              <w:t xml:space="preserve">Key Tokyo Clients</w:t>
            </w:r>
          </w:p>
        </w:tc>
      </w:tr>
      <w:tr>
        <w:tc>
          <w:tcPr/>
          <w:p>
            <w:pPr>
              <w:pStyle w:val="Compact"/>
              <w:jc w:val="left"/>
            </w:pPr>
            <w:r>
              <w:t xml:space="preserve">Primary/Secondary Curriculum Design</w:t>
            </w:r>
          </w:p>
        </w:tc>
        <w:tc>
          <w:tcPr/>
          <w:p>
            <w:pPr>
              <w:pStyle w:val="Compact"/>
              <w:jc w:val="left"/>
            </w:pPr>
            <w:r>
              <w:t xml:space="preserve">¥62,800,000</w:t>
            </w:r>
          </w:p>
        </w:tc>
        <w:tc>
          <w:tcPr/>
          <w:p>
            <w:pPr>
              <w:pStyle w:val="Compact"/>
              <w:jc w:val="left"/>
            </w:pPr>
            <w:r>
              <w:t xml:space="preserve">+57%</w:t>
            </w:r>
          </w:p>
        </w:tc>
        <w:tc>
          <w:tcPr/>
          <w:p>
            <w:pPr>
              <w:pStyle w:val="Compact"/>
              <w:jc w:val="left"/>
            </w:pPr>
            <w:r>
              <w:t xml:space="preserve">Tokyo Metropolitan Board of Education, Kaisei Gakuen</w:t>
            </w:r>
          </w:p>
        </w:tc>
      </w:tr>
      <w:tr>
        <w:tc>
          <w:tcPr/>
          <w:p>
            <w:pPr>
              <w:pStyle w:val="Compact"/>
              <w:jc w:val="left"/>
            </w:pPr>
            <w:r>
              <w:t xml:space="preserve">Corporate Training Curriculum Development</w:t>
            </w:r>
          </w:p>
        </w:tc>
        <w:tc>
          <w:tcPr/>
          <w:p>
            <w:pPr>
              <w:pStyle w:val="Compact"/>
              <w:jc w:val="left"/>
            </w:pPr>
            <w:r>
              <w:t xml:space="preserve">¥48,200,000</w:t>
            </w:r>
          </w:p>
        </w:tc>
        <w:tc>
          <w:tcPr/>
          <w:p>
            <w:pPr>
              <w:pStyle w:val="Compact"/>
              <w:jc w:val="left"/>
            </w:pPr>
            <w:r>
              <w:t xml:space="preserve">+73%</w:t>
            </w:r>
          </w:p>
        </w:tc>
        <w:tc>
          <w:tcPr/>
          <w:p>
            <w:pPr>
              <w:pStyle w:val="Compact"/>
              <w:jc w:val="left"/>
            </w:pPr>
            <w:r>
              <w:t xml:space="preserve">Sony Global Academy, Mitsubishi UFJ Financial Group</w:t>
            </w:r>
          </w:p>
        </w:tc>
      </w:tr>
      <w:tr>
        <w:tc>
          <w:tcPr/>
          <w:p>
            <w:pPr>
              <w:pStyle w:val="Compact"/>
              <w:jc w:val="left"/>
            </w:pPr>
            <w:r>
              <w:t xml:space="preserve">University Internationalization Programs</w:t>
            </w:r>
          </w:p>
        </w:tc>
        <w:tc>
          <w:tcPr/>
          <w:p>
            <w:pPr>
              <w:pStyle w:val="Compact"/>
              <w:jc w:val="left"/>
            </w:pPr>
            <w:r>
              <w:t xml:space="preserve">¥31,150,000</w:t>
            </w:r>
          </w:p>
        </w:tc>
        <w:tc>
          <w:tcPr/>
          <w:p>
            <w:pPr>
              <w:pStyle w:val="Compact"/>
              <w:jc w:val="left"/>
            </w:pPr>
            <w:r>
              <w:t xml:space="preserve">+42%</w:t>
            </w:r>
          </w:p>
        </w:tc>
        <w:tc>
          <w:tcPr/>
          <w:p>
            <w:pPr>
              <w:pStyle w:val="Compact"/>
              <w:jc w:val="left"/>
            </w:pPr>
            <w:r>
              <w:t xml:space="preserve">Tokyo University of Foreign Studies, Waseda University</w:t>
            </w:r>
          </w:p>
        </w:tc>
      </w:tr>
    </w:tbl>
    <w:bookmarkEnd w:id="24"/>
    <w:bookmarkStart w:id="25" w:name="client-satisfaction-retention"/>
    <w:p>
      <w:pPr>
        <w:pStyle w:val="Heading3"/>
      </w:pPr>
      <w:r>
        <w:t xml:space="preserve">Client Satisfaction &amp; Retention</w:t>
      </w:r>
    </w:p>
    <w:p>
      <w:pPr>
        <w:pStyle w:val="FirstParagraph"/>
      </w:pPr>
      <w:r>
        <w:t xml:space="preserve">Our Curriculum Developer services in Japan Tokyo achieved a 92% NPS (Net Promoter Score) among clients, with 87% of institutions renewing contracts for 2+ years. The primary driver of satisfaction is our unique</w:t>
      </w:r>
      <w:r>
        <w:t xml:space="preserve"> </w:t>
      </w:r>
      <w:r>
        <w:rPr>
          <w:iCs/>
          <w:i/>
        </w:rPr>
        <w:t xml:space="preserve">Tokyo Cultural Integration Protocol</w:t>
      </w:r>
      <w:r>
        <w:t xml:space="preserve">, where Curriculum Developers complete mandatory cultural immersion training including Shinto ritual participation and</w:t>
      </w:r>
      <w:r>
        <w:t xml:space="preserve"> </w:t>
      </w:r>
      <w:r>
        <w:rPr>
          <w:iCs/>
          <w:i/>
        </w:rPr>
        <w:t xml:space="preserve">senpai-kōhai</w:t>
      </w:r>
      <w:r>
        <w:t xml:space="preserve"> </w:t>
      </w:r>
      <w:r>
        <w:t xml:space="preserve">(senior-junior) relationship studies. One major Tokyo client noted: "Your Curriculum Developer didn't just create content – they understood how to embed it within Japan's educational ecosystem, making our teachers embrace the changes."</w:t>
      </w:r>
    </w:p>
    <w:bookmarkEnd w:id="25"/>
    <w:bookmarkEnd w:id="26"/>
    <w:bookmarkStart w:id="30" w:name="Xb0985c0fffcf30a3ffffd045d19bc9071e88e27"/>
    <w:p>
      <w:pPr>
        <w:pStyle w:val="Heading2"/>
      </w:pPr>
      <w:r>
        <w:t xml:space="preserve">Strategic Recommendations for Japan Tokyo Expansion</w:t>
      </w:r>
    </w:p>
    <w:bookmarkStart w:id="27" w:name="leverage-ministry-partnerships"/>
    <w:p>
      <w:pPr>
        <w:pStyle w:val="Heading3"/>
      </w:pPr>
      <w:r>
        <w:t xml:space="preserve">1. Leverage Ministry Partnerships</w:t>
      </w:r>
    </w:p>
    <w:p>
      <w:pPr>
        <w:pStyle w:val="FirstParagraph"/>
      </w:pPr>
      <w:r>
        <w:t xml:space="preserve">Recommend prioritizing collaboration with Tokyo's Ministry of Education through their newly launched "Global Skills Certification" initiative. Our Curriculum Developer team should co-develop standardized assessment frameworks to position our services as ministry-endorsed solutions, potentially capturing 15-20% market share in public school curricula within 18 months.</w:t>
      </w:r>
    </w:p>
    <w:bookmarkEnd w:id="27"/>
    <w:bookmarkStart w:id="28" w:name="develop-tokyo-specific-micro-credentials"/>
    <w:p>
      <w:pPr>
        <w:pStyle w:val="Heading3"/>
      </w:pPr>
      <w:r>
        <w:t xml:space="preserve">2. Develop Tokyo-Specific Micro-Credentials</w:t>
      </w:r>
    </w:p>
    <w:p>
      <w:pPr>
        <w:pStyle w:val="FirstParagraph"/>
      </w:pPr>
      <w:r>
        <w:t xml:space="preserve">Create certified professional development programs for Japanese educators focused on "Implementing Global Curriculum Standards." This addresses the critical training gap identified by 76% of Tokyo schools in our client surveys, with projected revenue potential of ¥85 million annually through partnership with local teacher training institutes.</w:t>
      </w:r>
    </w:p>
    <w:bookmarkEnd w:id="28"/>
    <w:bookmarkStart w:id="29" w:name="enhance-digital-localization"/>
    <w:p>
      <w:pPr>
        <w:pStyle w:val="Heading3"/>
      </w:pPr>
      <w:r>
        <w:t xml:space="preserve">3. Enhance Digital Localization</w:t>
      </w:r>
    </w:p>
    <w:p>
      <w:pPr>
        <w:pStyle w:val="FirstParagraph"/>
      </w:pPr>
      <w:r>
        <w:t xml:space="preserve">Develop a Japan Tokyo-specific learning management system (LMS) module that integrates Japanese kanji-based content tagging and aligns with the country's "Digital Transformation in Education" policy. This would directly support our Curriculum Developer service delivery while creating a 40% higher upsell opportunity to existing clients.</w:t>
      </w:r>
    </w:p>
    <w:p>
      <w:pPr>
        <w:pStyle w:val="BodyText"/>
      </w:pPr>
      <w:r>
        <w:rPr>
          <w:bCs/>
          <w:b/>
        </w:rPr>
        <w:t xml:space="preserve">Market Insight:</w:t>
      </w:r>
      <w:r>
        <w:t xml:space="preserve"> </w:t>
      </w:r>
      <w:r>
        <w:t xml:space="preserve">The Tokyo education market currently spends ¥1.2 billion annually on curriculum-related technology – 68% of which goes to Western platforms lacking cultural adaptation. Our Curriculum Developer expertise positions us perfectly to capture this unmet demand.</w:t>
      </w:r>
    </w:p>
    <w:bookmarkEnd w:id="29"/>
    <w:bookmarkEnd w:id="30"/>
    <w:bookmarkStart w:id="31" w:name="X59ef3a1c0b1d424983b963e6fb6e8a9d5d8448e"/>
    <w:p>
      <w:pPr>
        <w:pStyle w:val="Heading2"/>
      </w:pPr>
      <w:r>
        <w:t xml:space="preserve">Conclusion: The Future of Curriculum Development in Japan Tokyo</w:t>
      </w:r>
    </w:p>
    <w:p>
      <w:pPr>
        <w:pStyle w:val="FirstParagraph"/>
      </w:pPr>
      <w:r>
        <w:t xml:space="preserve">The Japan Tokyo market has unequivocally validated the strategic necessity of our Curriculum Developer services. As educational institutions navigate the dual pressures of domestic standards and global competition, specialized curriculum expertise has evolved from a "nice-to-have" to a critical growth driver. Our success demonstrates that when Curriculum Developers possess deep cultural fluency – understanding not just Japanese language but also</w:t>
      </w:r>
      <w:r>
        <w:t xml:space="preserve"> </w:t>
      </w:r>
      <w:r>
        <w:rPr>
          <w:iCs/>
          <w:i/>
        </w:rPr>
        <w:t xml:space="preserve">wa</w:t>
      </w:r>
      <w:r>
        <w:t xml:space="preserve"> </w:t>
      </w:r>
      <w:r>
        <w:t xml:space="preserve">(harmony),</w:t>
      </w:r>
      <w:r>
        <w:t xml:space="preserve"> </w:t>
      </w:r>
      <w:r>
        <w:rPr>
          <w:iCs/>
          <w:i/>
        </w:rPr>
        <w:t xml:space="preserve">gaman</w:t>
      </w:r>
      <w:r>
        <w:t xml:space="preserve"> </w:t>
      </w:r>
      <w:r>
        <w:t xml:space="preserve">(perseverance), and the nuances of Tokyo's education bureaucracy – they deliver measurable business outcomes.</w:t>
      </w:r>
    </w:p>
    <w:p>
      <w:pPr>
        <w:pStyle w:val="BodyText"/>
      </w:pPr>
      <w:r>
        <w:t xml:space="preserve">We project 2024 sales growth in Japan Tokyo will accelerate to 65% YoY, driven by our Curriculum Developer team's ability to transform regulatory requirements into compelling educational experiences. This Sales Report confirms that investing in culturally intelligent curriculum development is the most effective pathway to sustainable market leadership in Tokyo's dynamic education landscape. As one of our top clients, a leading Tokyo private school principal articulated it perfectly: "Your Curriculum Developer doesn't just know Japanese education – they breathe its spirit."</w:t>
      </w:r>
    </w:p>
    <w:p>
      <w:pPr>
        <w:pStyle w:val="BodyText"/>
      </w:pPr>
      <w:r>
        <w:t xml:space="preserve">For the Japan Tokyo office, we recommend doubling our Curriculum Developer headcount by Q2 2024 and establishing a dedicated cultural liaison role within our development team. This investment will solidify our position as the premier provider of curriculum solutions in one of Asia's most sophisticated education markets – transforming educational outcomes while driving exceptional sales performance.</w:t>
      </w:r>
    </w:p>
    <w:bookmarkEnd w:id="31"/>
    <w:p>
      <w:pPr>
        <w:pStyle w:val="BodyText"/>
      </w:pPr>
      <w:r>
        <w:t xml:space="preserve">Prepared by Global Education Sales Intelligence Team | Tokyo Office | October 26, 2023</w:t>
      </w:r>
    </w:p>
    <w:p>
      <w:pPr>
        <w:pStyle w:val="BodyText"/>
      </w:pPr>
      <w:r>
        <w:t xml:space="preserve">Report ID: CR-CD-TOK-2023-Q4</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Sales Report: Japan Tokyo Market</dc:title>
  <dc:creator/>
  <dc:language>en</dc:language>
  <cp:keywords/>
  <dcterms:created xsi:type="dcterms:W3CDTF">2026-07-19T20:57:29Z</dcterms:created>
  <dcterms:modified xsi:type="dcterms:W3CDTF">2026-07-19T20:57:29Z</dcterms:modified>
</cp:coreProperties>
</file>

<file path=docProps/custom.xml><?xml version="1.0" encoding="utf-8"?>
<Properties xmlns="http://schemas.openxmlformats.org/officeDocument/2006/custom-properties" xmlns:vt="http://schemas.openxmlformats.org/officeDocument/2006/docPropsVTypes"/>
</file>