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Nigeria</w:t>
      </w:r>
      <w:r>
        <w:t xml:space="preserve"> </w:t>
      </w:r>
      <w:r>
        <w:t xml:space="preserve">Abuja</w:t>
      </w:r>
    </w:p>
    <w:bookmarkStart w:id="31" w:name="X63985428024ef9b735b05566b324e9f43d510fc"/>
    <w:p>
      <w:pPr>
        <w:pStyle w:val="Heading1"/>
      </w:pPr>
      <w:r>
        <w:t xml:space="preserve">SALES REPORT: CURRICULUM DEVELOPER SERVICES IN NIGERIA ABUJA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Educational Innovation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Curriculum Developer services within Nigeria's Abuja Federal Capital Territory (FCT). The FCT represents a strategic hub for national education policy implementation, making it critical for curriculum innovation. Our sales pipeline achieved 108% of quarterly targets, securing N58.6 million in new contracts across 12 government and private educational institutions. This growth reflects Nigeria's urgent need for localized curriculum solutions aligned with the National Policy on Education (NPE) 2013 and Vision 2030. Abuja's unique position as the seat of government has accelerated demand for Curriculum Developer expertise, with over 75% of our new clients being federal agencies and tertiary institutions.</w:t>
      </w:r>
    </w:p>
    <w:bookmarkEnd w:id="20"/>
    <w:bookmarkStart w:id="21" w:name="X2a0f04b3641cec44a9674dbaede9c79b2900c05"/>
    <w:p>
      <w:pPr>
        <w:pStyle w:val="Heading2"/>
      </w:pPr>
      <w:r>
        <w:t xml:space="preserve">II. Market Analysis: Abuja Education Landscape</w:t>
      </w:r>
    </w:p>
    <w:p>
      <w:pPr>
        <w:pStyle w:val="FirstParagraph"/>
      </w:pPr>
      <w:r>
        <w:t xml:space="preserve">Nigeria Abuja presents a high-potential market due to its concentration of educational governance bodies. The Federal Ministry of Education, National Council for Arts and Culture, and leading universities (ABU, UNIZIK) form a demand cluster requiring specialized Curriculum Developer services. Recent federal policy shifts—particularly the Basic Education Curriculum Reform (BECE) initiative—have created unprecedented opportunities. Our analysis reveals:</w:t>
      </w:r>
    </w:p>
    <w:p>
      <w:pPr>
        <w:numPr>
          <w:ilvl w:val="0"/>
          <w:numId w:val="1001"/>
        </w:numPr>
        <w:pStyle w:val="Compact"/>
      </w:pPr>
      <w:r>
        <w:t xml:space="preserve">32% YoY increase in curriculum development budgets across FCT schools</w:t>
      </w:r>
    </w:p>
    <w:p>
      <w:pPr>
        <w:numPr>
          <w:ilvl w:val="0"/>
          <w:numId w:val="1001"/>
        </w:numPr>
        <w:pStyle w:val="Compact"/>
      </w:pPr>
      <w:r>
        <w:t xml:space="preserve">87% of target institutions seeking digital integration in K-12 curricula</w:t>
      </w:r>
    </w:p>
    <w:p>
      <w:pPr>
        <w:numPr>
          <w:ilvl w:val="0"/>
          <w:numId w:val="1001"/>
        </w:numPr>
        <w:pStyle w:val="Compact"/>
      </w:pPr>
      <w:r>
        <w:t xml:space="preserve">Priority focus on STEM, vocational training, and indigenous language preservation (Hausa, Yoruba, Igbo)</w:t>
      </w:r>
    </w:p>
    <w:bookmarkEnd w:id="21"/>
    <w:bookmarkStart w:id="22" w:name="iii.-sales-performance-breakdown"/>
    <w:p>
      <w:pPr>
        <w:pStyle w:val="Heading2"/>
      </w:pPr>
      <w:r>
        <w:t xml:space="preserve">III. Sales Performance Breakdown</w:t>
      </w:r>
    </w:p>
    <w:p>
      <w:pPr>
        <w:pStyle w:val="FirstParagraph"/>
      </w:pPr>
      <w:r>
        <w:t xml:space="preserve">Client Type</w:t>
      </w:r>
    </w:p>
    <w:p>
      <w:pPr>
        <w:pStyle w:val="BodyText"/>
      </w:pPr>
      <w:r>
        <w:t xml:space="preserve">Number of Contracts</w:t>
      </w:r>
    </w:p>
    <w:p>
      <w:pPr>
        <w:pStyle w:val="BodyText"/>
      </w:pPr>
      <w:r>
        <w:t xml:space="preserve">Total Value (NGN)</w:t>
      </w:r>
    </w:p>
    <w:p>
      <w:pPr>
        <w:pStyle w:val="BodyText"/>
      </w:pPr>
      <w:r>
        <w:t xml:space="preserve">Growth vs Q2</w:t>
      </w:r>
    </w:p>
    <w:p>
      <w:pPr>
        <w:pStyle w:val="BodyText"/>
      </w:pPr>
      <w:r>
        <w:t xml:space="preserve">Federal Government Agencies</w:t>
      </w:r>
    </w:p>
    <w:p>
      <w:pPr>
        <w:pStyle w:val="BodyText"/>
      </w:pPr>
      <w:r>
        <w:t xml:space="preserve">5</w:t>
      </w:r>
    </w:p>
    <w:p>
      <w:pPr>
        <w:pStyle w:val="BodyText"/>
      </w:pPr>
      <w:r>
        <w:t xml:space="preserve">28,400,000</w:t>
      </w:r>
    </w:p>
    <w:p>
      <w:pPr>
        <w:pStyle w:val="BodyText"/>
      </w:pPr>
      <w:r>
        <w:t xml:space="preserve">+41%</w:t>
      </w:r>
    </w:p>
    <w:p>
      <w:pPr>
        <w:pStyle w:val="BodyText"/>
      </w:pPr>
      <w:r>
        <w:t xml:space="preserve">Private Schools (Abuja-based)</w:t>
      </w:r>
    </w:p>
    <w:p>
      <w:pPr>
        <w:pStyle w:val="BodyText"/>
      </w:pPr>
      <w:r>
        <w:t xml:space="preserve">3</w:t>
      </w:r>
    </w:p>
    <w:p>
      <w:pPr>
        <w:pStyle w:val="BodyText"/>
      </w:pPr>
    </w:p>
    <w:p>
      <w:pPr>
        <w:pStyle w:val="BodyText"/>
      </w:pPr>
      <w:r>
        <w:t xml:space="preserve">9,250,000</w:t>
      </w:r>
    </w:p>
    <w:p>
      <w:pPr>
        <w:pStyle w:val="BodyText"/>
      </w:pPr>
      <w:r>
        <w:rPr>
          <w:bCs/>
          <w:b/>
        </w:rPr>
        <w:t xml:space="preserve">Federal Universities (ABU, UNN)</w:t>
      </w:r>
    </w:p>
    <w:p>
      <w:pPr>
        <w:pStyle w:val="BodyText"/>
      </w:pPr>
      <w:r>
        <w:t xml:space="preserve">4</w:t>
      </w:r>
    </w:p>
    <w:p>
      <w:pPr>
        <w:pStyle w:val="BodyText"/>
      </w:pPr>
      <w:r>
        <w:t xml:space="preserve">N31,500,000</w:t>
      </w:r>
    </w:p>
    <w:p>
      <w:pPr>
        <w:pStyle w:val="BodyText"/>
      </w:pPr>
      <w:r>
        <w:t xml:space="preserve">+28%</w:t>
      </w:r>
    </w:p>
    <w:p>
      <w:pPr>
        <w:pStyle w:val="BodyText"/>
      </w:pPr>
      <w:r>
        <w:rPr>
          <w:iCs/>
          <w:i/>
        </w:rPr>
        <w:t xml:space="preserve">Total</w:t>
      </w:r>
    </w:p>
    <w:p>
      <w:pPr>
        <w:pStyle w:val="BodyText"/>
      </w:pPr>
      <w:r>
        <w:rPr>
          <w:iCs/>
          <w:i/>
        </w:rPr>
        <w:t xml:space="preserve">12</w:t>
      </w:r>
    </w:p>
    <w:p>
      <w:pPr>
        <w:pStyle w:val="BodyText"/>
      </w:pPr>
      <w:r>
        <w:rPr>
          <w:iCs/>
          <w:i/>
        </w:rPr>
        <w:t xml:space="preserve">58,600,000</w:t>
      </w:r>
    </w:p>
    <w:p>
      <w:pPr>
        <w:pStyle w:val="BodyText"/>
      </w:pPr>
      <w:r>
        <w:rPr>
          <w:iCs/>
          <w:i/>
        </w:rPr>
        <w:t xml:space="preserve">+36%</w:t>
      </w:r>
    </w:p>
    <w:bookmarkEnd w:id="22"/>
    <w:bookmarkStart w:id="26" w:name="Xba30f5d6856c0ae9eaf97389f4ad7783bdab522"/>
    <w:p>
      <w:pPr>
        <w:pStyle w:val="Heading2"/>
      </w:pPr>
      <w:r>
        <w:t xml:space="preserve">IV. Key Success Factors for Curriculum Developer Sales in Abuja</w:t>
      </w:r>
    </w:p>
    <w:p>
      <w:pPr>
        <w:pStyle w:val="FirstParagraph"/>
      </w:pPr>
      <w:r>
        <w:t xml:space="preserve">Our success in Nigeria Abuja stems from three strategic pillars:</w:t>
      </w:r>
    </w:p>
    <w:bookmarkStart w:id="23" w:name="a.-policy-alignment"/>
    <w:p>
      <w:pPr>
        <w:pStyle w:val="Heading3"/>
      </w:pPr>
      <w:r>
        <w:t xml:space="preserve">A. Policy Alignment</w:t>
      </w:r>
    </w:p>
    <w:p>
      <w:pPr>
        <w:pStyle w:val="FirstParagraph"/>
      </w:pPr>
      <w:r>
        <w:t xml:space="preserve">All sales proposals directly reference the Federal Government's Education Sector Development Plan (ESDP) 2021-2025. For example, our curriculum package for Federal College of Education (Abuja) integrated ESDP's "Digital Literacy for All" mandate, resulting in a N14.7M contract. This policy-first approach resonates with Abuja's government procurement culture where alignment is non-negotiable.</w:t>
      </w:r>
    </w:p>
    <w:bookmarkEnd w:id="23"/>
    <w:bookmarkStart w:id="24" w:name="b.-cultural-contextualization"/>
    <w:p>
      <w:pPr>
        <w:pStyle w:val="Heading3"/>
      </w:pPr>
      <w:r>
        <w:t xml:space="preserve">B. Cultural Contextualization</w:t>
      </w:r>
    </w:p>
    <w:p>
      <w:pPr>
        <w:pStyle w:val="FirstParagraph"/>
      </w:pPr>
      <w:r>
        <w:t xml:space="preserve">Abuja-based Curriculum Developers emphasized local relevance:</w:t>
      </w:r>
      <w:r>
        <w:t xml:space="preserve"> </w:t>
      </w:r>
      <w:r>
        <w:t xml:space="preserve">• Developed Hausa-language STEM modules for JSS students (approved by FCT Ministry of Education)</w:t>
      </w:r>
      <w:r>
        <w:t xml:space="preserve"> </w:t>
      </w:r>
      <w:r>
        <w:t xml:space="preserve">• Created "Nigerian Heritage" units for social studies across 28 schools</w:t>
      </w:r>
      <w:r>
        <w:t xml:space="preserve"> </w:t>
      </w:r>
      <w:r>
        <w:t xml:space="preserve">• Incorporated Fulani and Tiv cultural narratives into primary curriculum</w:t>
      </w:r>
      <w:r>
        <w:t xml:space="preserve"> </w:t>
      </w:r>
      <w:r>
        <w:t xml:space="preserve">This localized approach distinguished us from generic international vendors, securing 63% of contracts.</w:t>
      </w:r>
    </w:p>
    <w:bookmarkEnd w:id="24"/>
    <w:bookmarkStart w:id="25" w:name="c.-abuja-specific-relationship-building"/>
    <w:p>
      <w:pPr>
        <w:pStyle w:val="Heading3"/>
      </w:pPr>
      <w:r>
        <w:t xml:space="preserve">C. Abuja-Specific Relationship Building</w:t>
      </w:r>
    </w:p>
    <w:p>
      <w:pPr>
        <w:pStyle w:val="FirstParagraph"/>
      </w:pPr>
      <w:r>
        <w:t xml:space="preserve">We leveraged Abuja's compact professional ecosystem through:</w:t>
      </w:r>
      <w:r>
        <w:t xml:space="preserve"> </w:t>
      </w:r>
      <w:r>
        <w:t xml:space="preserve">• Sponsorship of FCT Education Summit (August 2023)</w:t>
      </w:r>
      <w:r>
        <w:t xml:space="preserve"> </w:t>
      </w:r>
      <w:r>
        <w:t xml:space="preserve">• Partnerships with Abuja-based NGOs (e.g., Education for All Network)</w:t>
      </w:r>
      <w:r>
        <w:t xml:space="preserve"> </w:t>
      </w:r>
      <w:r>
        <w:t xml:space="preserve">• Targeted outreach to Federal Ministry of Education directors in Garki and Wuse areas</w:t>
      </w:r>
      <w:r>
        <w:t xml:space="preserve"> </w:t>
      </w:r>
      <w:r>
        <w:t xml:space="preserve">Our Abuja-based sales team achieved 78% conversion rate from initial meetings, exceeding national average by 32%.</w:t>
      </w:r>
    </w:p>
    <w:bookmarkEnd w:id="25"/>
    <w:bookmarkEnd w:id="26"/>
    <w:bookmarkStart w:id="27" w:name="v.-challenges-mitigation-strategies"/>
    <w:p>
      <w:pPr>
        <w:pStyle w:val="Heading2"/>
      </w:pPr>
      <w:r>
        <w:t xml:space="preserve">V. Challenges &amp; Mitigation Strategies</w:t>
      </w:r>
    </w:p>
    <w:p>
      <w:pPr>
        <w:pStyle w:val="FirstParagraph"/>
      </w:pPr>
      <w:r>
        <w:rPr>
          <w:bCs/>
          <w:b/>
        </w:rPr>
        <w:t xml:space="preserve">Challenge 1: Budget Allocation Delays</w:t>
      </w:r>
      <w:r>
        <w:br/>
      </w:r>
      <w:r>
        <w:t xml:space="preserve">Federal projects often face approval bottlenecks in Abuja's bureaucratic environment. *Mitigation:* We introduced "phased implementation" contracts—delivering critical curriculum components within 60 days to secure initial payments, with full deployment upon budget release.</w:t>
      </w:r>
    </w:p>
    <w:p>
      <w:pPr>
        <w:pStyle w:val="BodyText"/>
      </w:pPr>
      <w:r>
        <w:rPr>
          <w:bCs/>
          <w:b/>
        </w:rPr>
        <w:t xml:space="preserve">Challenge 2: Competitor Price Wars</w:t>
      </w:r>
      <w:r>
        <w:br/>
      </w:r>
      <w:r>
        <w:t xml:space="preserve">International firms underbidding on digital curriculum packages. *Mitigation:* We shifted focus from price to value—offering free teacher training workshops (delivered at Abuja State University) as part of all contracts, increasing average deal size by 23%.</w:t>
      </w:r>
    </w:p>
    <w:bookmarkEnd w:id="27"/>
    <w:bookmarkStart w:id="28" w:name="vi.-abuja-market-growth-projections"/>
    <w:p>
      <w:pPr>
        <w:pStyle w:val="Heading2"/>
      </w:pPr>
      <w:r>
        <w:t xml:space="preserve">VI. Abuja Market Growth Projections</w:t>
      </w:r>
    </w:p>
    <w:p>
      <w:pPr>
        <w:pStyle w:val="FirstParagraph"/>
      </w:pPr>
      <w:r>
        <w:t xml:space="preserve">Based on Q3 performance and government initiatives, we project:</w:t>
      </w:r>
      <w:r>
        <w:t xml:space="preserve"> </w:t>
      </w:r>
      <w:r>
        <w:t xml:space="preserve">• 45% YoY growth in Curriculum Developer demand across FCT by H1 2024</w:t>
      </w:r>
      <w:r>
        <w:t xml:space="preserve"> </w:t>
      </w:r>
      <w:r>
        <w:t xml:space="preserve">• New opportunity pipeline: N87 million (including Federal Ministry of Health's "Digital Health Education" curriculum)</w:t>
      </w:r>
      <w:r>
        <w:t xml:space="preserve"> </w:t>
      </w:r>
      <w:r>
        <w:t xml:space="preserve">• Emerging niche: Vocational skills alignment for Abuja's growing tech hub (Silicon Valley Abuja initiative)</w:t>
      </w:r>
    </w:p>
    <w:bookmarkEnd w:id="28"/>
    <w:bookmarkStart w:id="29" w:name="vii.-strategic-recommendations"/>
    <w:p>
      <w:pPr>
        <w:pStyle w:val="Heading2"/>
      </w:pPr>
      <w:r>
        <w:t xml:space="preserve">VII. Strategic Recommendations</w:t>
      </w:r>
    </w:p>
    <w:p>
      <w:pPr>
        <w:numPr>
          <w:ilvl w:val="0"/>
          <w:numId w:val="1002"/>
        </w:numPr>
        <w:pStyle w:val="Compact"/>
      </w:pPr>
      <w:r>
        <w:rPr>
          <w:bCs/>
          <w:b/>
        </w:rPr>
        <w:t xml:space="preserve">Expand Abuja Operations:</w:t>
      </w:r>
      <w:r>
        <w:t xml:space="preserve"> </w:t>
      </w:r>
      <w:r>
        <w:t xml:space="preserve">Hire 3 additional Curriculum Developers with FCT educational network connections by Q1 2024</w:t>
      </w:r>
    </w:p>
    <w:p>
      <w:pPr>
        <w:numPr>
          <w:ilvl w:val="0"/>
          <w:numId w:val="1002"/>
        </w:numPr>
        <w:pStyle w:val="Compact"/>
      </w:pPr>
      <w:r>
        <w:rPr>
          <w:bCs/>
          <w:b/>
        </w:rPr>
        <w:t xml:space="preserve">Prioritize Policy Workshops:</w:t>
      </w:r>
      <w:r>
        <w:t xml:space="preserve"> </w:t>
      </w:r>
      <w:r>
        <w:t xml:space="preserve">Partner with Federal Ministry of Education to host quarterly curriculum strategy sessions in Abuja</w:t>
      </w:r>
    </w:p>
    <w:p>
      <w:pPr>
        <w:numPr>
          <w:ilvl w:val="0"/>
          <w:numId w:val="1002"/>
        </w:numPr>
        <w:pStyle w:val="Compact"/>
      </w:pPr>
      <w:r>
        <w:rPr>
          <w:bCs/>
          <w:b/>
        </w:rPr>
        <w:t xml:space="preserve">Develop Abuja-Specific Portfolio:</w:t>
      </w:r>
      <w:r>
        <w:t xml:space="preserve"> </w:t>
      </w:r>
      <w:r>
        <w:t xml:space="preserve">Create "FCT Curriculum Framework" package combining national standards with local context (launch Q2 2024)</w:t>
      </w:r>
    </w:p>
    <w:p>
      <w:pPr>
        <w:numPr>
          <w:ilvl w:val="0"/>
          <w:numId w:val="1002"/>
        </w:numPr>
        <w:pStyle w:val="Compact"/>
      </w:pPr>
      <w:r>
        <w:rPr>
          <w:bCs/>
          <w:b/>
        </w:rPr>
        <w:t xml:space="preserve">Leverage Government Events:</w:t>
      </w:r>
      <w:r>
        <w:t xml:space="preserve"> </w:t>
      </w:r>
      <w:r>
        <w:t xml:space="preserve">Secure booth space at 2023 National Education Conference in Abuja for lead generation</w:t>
      </w:r>
    </w:p>
    <w:bookmarkEnd w:id="29"/>
    <w:bookmarkStart w:id="30" w:name="viii.-conclusion"/>
    <w:p>
      <w:pPr>
        <w:pStyle w:val="Heading2"/>
      </w:pPr>
      <w:r>
        <w:t xml:space="preserve">VIII. Conclusion</w:t>
      </w:r>
    </w:p>
    <w:p>
      <w:pPr>
        <w:pStyle w:val="FirstParagraph"/>
      </w:pPr>
      <w:r>
        <w:t xml:space="preserve">Nigeria Abuja has emerged as the most strategic market for Curriculum Developer services in West Africa. Our Q3 performance demonstrates that when sales strategies align with federal policy priorities and cultural context, remarkable growth is achievable. The 108% target achievement reflects not just commercial success, but validation of our approach to education reform in Nigeria's capital city. As Abuja accelerates its transformation into an education innovation hub under the National Digital Economy Policy, demand for specialized Curriculum Developer expertise will continue rising. We recommend doubling down on Abuja-centric strategies to capture 35%+ of FCT curriculum development market share by 2025.</w:t>
      </w:r>
    </w:p>
    <w:p>
      <w:pPr>
        <w:pStyle w:val="BodyText"/>
      </w:pPr>
      <w:r>
        <w:rPr>
          <w:bCs/>
          <w:b/>
        </w:rPr>
        <w:t xml:space="preserve">Prepared By:</w:t>
      </w:r>
      <w:r>
        <w:t xml:space="preserve"> </w:t>
      </w:r>
      <w:r>
        <w:t xml:space="preserve">Adedapo Ojo, Director of Sales &amp; Strategic Partnerships</w:t>
      </w:r>
      <w:r>
        <w:br/>
      </w:r>
      <w:r>
        <w:rPr>
          <w:bCs/>
          <w:b/>
        </w:rPr>
        <w:t xml:space="preserve">Contact:</w:t>
      </w:r>
      <w:r>
        <w:t xml:space="preserve"> </w:t>
      </w:r>
      <w:r>
        <w:t xml:space="preserve">adedapo@curriculuminnovate.ng | +234 803 123 4567</w:t>
      </w:r>
    </w:p>
    <w:p>
      <w:pPr>
        <w:pStyle w:val="BodyText"/>
      </w:pPr>
      <w:r>
        <w:rPr>
          <w:iCs/>
          <w:i/>
        </w:rPr>
        <w:t xml:space="preserve">This report is confidential and proprietary to Curriculum Innovate Limited. Distribution restricted to authorized personnel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Nigeria Abuja</dc:title>
  <dc:creator/>
  <dc:language>en</dc:language>
  <cp:keywords/>
  <dcterms:created xsi:type="dcterms:W3CDTF">2026-07-22T11:21:39Z</dcterms:created>
  <dcterms:modified xsi:type="dcterms:W3CDTF">2026-07-22T11:21:39Z</dcterms:modified>
</cp:coreProperties>
</file>

<file path=docProps/custom.xml><?xml version="1.0" encoding="utf-8"?>
<Properties xmlns="http://schemas.openxmlformats.org/officeDocument/2006/custom-properties" xmlns:vt="http://schemas.openxmlformats.org/officeDocument/2006/docPropsVTypes"/>
</file>