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Miami</w:t>
      </w:r>
    </w:p>
    <w:bookmarkStart w:id="29" w:name="X549da9ce415ebb25c56068c8b4f9ea451dfc683"/>
    <w:p>
      <w:pPr>
        <w:pStyle w:val="Heading1"/>
      </w:pPr>
      <w:r>
        <w:t xml:space="preserve">Quarterly Sales Performance Report: Curriculum Developer Impact Analysis</w:t>
      </w:r>
    </w:p>
    <w:bookmarkStart w:id="28" w:name="united-states-miami-operations-division"/>
    <w:p>
      <w:pPr>
        <w:pStyle w:val="Heading2"/>
      </w:pPr>
      <w:r>
        <w:t xml:space="preserve">United States Miami Operations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States Miami Regional Office</w:t>
      </w:r>
      <w:r>
        <w:br/>
      </w:r>
      <w:r>
        <w:rPr>
          <w:bCs/>
          <w:b/>
        </w:rPr>
        <w:t xml:space="preserve">Report Period:</w:t>
      </w:r>
      <w:r>
        <w:t xml:space="preserve"> </w:t>
      </w:r>
      <w:r>
        <w:t xml:space="preserve">Q3 2023 (July 1 - September 30)</w:t>
      </w:r>
    </w:p>
    <w:bookmarkStart w:id="20" w:name="i.-executive-summary"/>
    <w:p>
      <w:pPr>
        <w:pStyle w:val="Heading3"/>
      </w:pPr>
      <w:r>
        <w:t xml:space="preserve">I. Executive Summary</w:t>
      </w:r>
    </w:p>
    <w:p>
      <w:pPr>
        <w:pStyle w:val="FirstParagraph"/>
      </w:pPr>
      <w:r>
        <w:t xml:space="preserve">This Sales Report details the pivotal role of our Curriculum Developer within United States Miami operations, demonstrating how strategic curriculum innovation directly drives revenue growth, client retention, and market expansion in one of America's most dynamic educational hubs. In Q3 2023, the Curriculum Developer team achieved a 28% increase in sales conversion rates through targeted program development aligned with Miami's unique demographic and industry demands. The United States Miami region contributed $1.87M in revenue from curriculum-based products – a 19% YoY growth – directly attributable to the Curriculum Developer's market-specific adaptations.</w:t>
      </w:r>
    </w:p>
    <w:bookmarkEnd w:id="20"/>
    <w:bookmarkStart w:id="21" w:name="X512ef141fe084d6504ad582d3515301f2320931"/>
    <w:p>
      <w:pPr>
        <w:pStyle w:val="Heading3"/>
      </w:pPr>
      <w:r>
        <w:t xml:space="preserve">II. Market Context: United States Miami Educational Landscape</w:t>
      </w:r>
    </w:p>
    <w:p>
      <w:pPr>
        <w:pStyle w:val="FirstParagraph"/>
      </w:pPr>
      <w:r>
        <w:t xml:space="preserve">Miami, Florida represents a critical frontier for educational innovation in the United States, characterized by:</w:t>
      </w:r>
    </w:p>
    <w:p>
      <w:pPr>
        <w:numPr>
          <w:ilvl w:val="0"/>
          <w:numId w:val="1001"/>
        </w:numPr>
        <w:pStyle w:val="Compact"/>
      </w:pPr>
      <w:r>
        <w:t xml:space="preserve">92% bilingual (Spanish/English) population requiring culturally responsive curriculum</w:t>
      </w:r>
    </w:p>
    <w:p>
      <w:pPr>
        <w:numPr>
          <w:ilvl w:val="0"/>
          <w:numId w:val="1001"/>
        </w:numPr>
        <w:pStyle w:val="Compact"/>
      </w:pPr>
      <w:r>
        <w:t xml:space="preserve">Booming STEM sector with 34% year-over-year growth in tech startups (Miami Tech Council, 2023)</w:t>
      </w:r>
    </w:p>
    <w:p>
      <w:pPr>
        <w:numPr>
          <w:ilvl w:val="0"/>
          <w:numId w:val="1001"/>
        </w:numPr>
        <w:pStyle w:val="Compact"/>
      </w:pPr>
      <w:r>
        <w:t xml:space="preserve">Persistent demand for career-focused programs across hospitality, healthcare, and digital marketing</w:t>
      </w:r>
    </w:p>
    <w:p>
      <w:pPr>
        <w:numPr>
          <w:ilvl w:val="0"/>
          <w:numId w:val="1001"/>
        </w:numPr>
        <w:pStyle w:val="Compact"/>
      </w:pPr>
      <w:r>
        <w:t xml:space="preserve">High competition from both local institutions and national edtech platforms</w:t>
      </w:r>
    </w:p>
    <w:p>
      <w:pPr>
        <w:pStyle w:val="FirstParagraph"/>
      </w:pPr>
      <w:r>
        <w:t xml:space="preserve">Our Curriculum Developer team has strategically positioned our offerings to dominate this niche. By embedding Miami-specific case studies (e.g., "Sustainable Tourism in South Beach," "Miami Healthcare Compliance for Bilingual Staff"), we've created a 41% higher perceived value proposition than generic alternatives.</w:t>
      </w:r>
    </w:p>
    <w:bookmarkEnd w:id="21"/>
    <w:bookmarkStart w:id="22" w:name="X8bc2ce4e43f45626b7b36369863f671bc8f57cf"/>
    <w:p>
      <w:pPr>
        <w:pStyle w:val="Heading3"/>
      </w:pPr>
      <w:r>
        <w:t xml:space="preserve">III. Curriculum Developer Impact on Sales Metrics</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Sales Conversion Rate (Enterprise)</w:t>
      </w:r>
    </w:p>
    <w:p>
      <w:pPr>
        <w:pStyle w:val="BodyText"/>
      </w:pPr>
      <w:r>
        <w:t xml:space="preserve">58.7%</w:t>
      </w:r>
    </w:p>
    <w:p>
      <w:pPr>
        <w:pStyle w:val="BodyText"/>
      </w:pPr>
      <w:r>
        <w:t xml:space="preserve">74.1%</w:t>
      </w:r>
    </w:p>
    <w:p>
      <w:pPr>
        <w:pStyle w:val="BodyText"/>
      </w:pPr>
      <w:r>
        <w:t xml:space="preserve">+26.3%</w:t>
      </w:r>
    </w:p>
    <w:p>
      <w:pPr>
        <w:pStyle w:val="BodyText"/>
      </w:pPr>
      <w:r>
        <w:t xml:space="preserve">Avg. Deal Size</w:t>
      </w:r>
    </w:p>
    <w:p>
      <w:pPr>
        <w:pStyle w:val="BodyText"/>
      </w:pPr>
      <w:r>
        <w:t xml:space="preserve">$28,300</w:t>
      </w:r>
    </w:p>
    <w:p>
      <w:pPr>
        <w:pStyle w:val="BodyText"/>
      </w:pPr>
      <w:r>
        <w:t xml:space="preserve">&lt;</w:t>
      </w:r>
    </w:p>
    <w:p>
      <w:pPr>
        <w:pStyle w:val="BodyText"/>
      </w:pPr>
      <w:r>
        <w:t xml:space="preserve">$34,900</w:t>
      </w:r>
    </w:p>
    <w:p>
      <w:pPr>
        <w:pStyle w:val="BodyText"/>
      </w:pPr>
      <w:r>
        <w:t xml:space="preserve">Cross-Sell Rate (Curriculum + LMS)</w:t>
      </w:r>
    </w:p>
    <w:p>
      <w:pPr>
        <w:pStyle w:val="BodyText"/>
      </w:pPr>
      <w:r>
        <w:t xml:space="preserve">29%</w:t>
      </w:r>
    </w:p>
    <w:p>
      <w:pPr>
        <w:pStyle w:val="BodyText"/>
      </w:pPr>
      <w:r>
        <w:t xml:space="preserve">51%</w:t>
      </w:r>
    </w:p>
    <w:p>
      <w:pPr>
        <w:pStyle w:val="BodyText"/>
      </w:pPr>
      <w:r>
        <w:t xml:space="preserve">+76%</w:t>
      </w:r>
    </w:p>
    <w:p>
      <w:pPr>
        <w:pStyle w:val="BodyText"/>
      </w:pPr>
      <w:r>
        <w:t xml:space="preserve">Client Retention (Miami Segment)</w:t>
      </w:r>
    </w:p>
    <w:p>
      <w:pPr>
        <w:pStyle w:val="BodyText"/>
      </w:pPr>
      <w:r>
        <w:t xml:space="preserve">81%</w:t>
      </w:r>
    </w:p>
    <w:p>
      <w:pPr>
        <w:pStyle w:val="BodyText"/>
      </w:pPr>
      <w:r>
        <w:t xml:space="preserve">&lt;</w:t>
      </w:r>
    </w:p>
    <w:p>
      <w:pPr>
        <w:pStyle w:val="BodyText"/>
      </w:pPr>
      <w:r>
        <w:t xml:space="preserve">93%</w:t>
      </w:r>
    </w:p>
    <w:p>
      <w:pPr>
        <w:pStyle w:val="BodyText"/>
      </w:pPr>
      <w:r>
        <w:t xml:space="preserve">The Curriculum Developer's intervention directly fueled these results through:</w:t>
      </w:r>
    </w:p>
    <w:p>
      <w:pPr>
        <w:numPr>
          <w:ilvl w:val="0"/>
          <w:numId w:val="1002"/>
        </w:numPr>
        <w:pStyle w:val="Compact"/>
      </w:pPr>
      <w:r>
        <w:rPr>
          <w:bCs/>
          <w:b/>
        </w:rPr>
        <w:t xml:space="preserve">Cultural Integration:</w:t>
      </w:r>
      <w:r>
        <w:t xml:space="preserve"> </w:t>
      </w:r>
      <w:r>
        <w:t xml:space="preserve">Developing 6 new Miami-specific modules (e.g., "Latin American Business Etiquette," "Caribbean Healthcare Compliance") that increased enterprise adoption by 37% in Hispanic-serving institutions.</w:t>
      </w:r>
    </w:p>
    <w:p>
      <w:pPr>
        <w:numPr>
          <w:ilvl w:val="0"/>
          <w:numId w:val="1002"/>
        </w:numPr>
        <w:pStyle w:val="Compact"/>
      </w:pPr>
      <w:r>
        <w:rPr>
          <w:bCs/>
          <w:b/>
        </w:rPr>
        <w:t xml:space="preserve">Competitive Differentiation:</w:t>
      </w:r>
      <w:r>
        <w:t xml:space="preserve"> </w:t>
      </w:r>
      <w:r>
        <w:t xml:space="preserve">Creating industry-aligned curricula for Miami's top-growing sectors (e.g., "AI for Hotel Revenue Management" developed with Four Seasons Miami), resulting in $620K in new contracts.</w:t>
      </w:r>
    </w:p>
    <w:p>
      <w:pPr>
        <w:numPr>
          <w:ilvl w:val="0"/>
          <w:numId w:val="1002"/>
        </w:numPr>
        <w:pStyle w:val="Compact"/>
      </w:pPr>
      <w:r>
        <w:rPr>
          <w:bCs/>
          <w:b/>
        </w:rPr>
        <w:t xml:space="preserve">Sales Enablement Assets:</w:t>
      </w:r>
      <w:r>
        <w:t xml:space="preserve"> </w:t>
      </w:r>
      <w:r>
        <w:t xml:space="preserve">Providing the sales team with 12 customized pitch decks using real Miami case studies, reducing sales cycle length by 18 business days.</w:t>
      </w:r>
    </w:p>
    <w:bookmarkEnd w:id="22"/>
    <w:bookmarkStart w:id="23" w:name="X09135223825b51430dadb06bdaf00a9aa27cf00"/>
    <w:p>
      <w:pPr>
        <w:pStyle w:val="Heading3"/>
      </w:pPr>
      <w:r>
        <w:t xml:space="preserve">IV. United States Miami-Specific Success Stories</w:t>
      </w:r>
    </w:p>
    <w:p>
      <w:pPr>
        <w:pStyle w:val="FirstParagraph"/>
      </w:pPr>
      <w:r>
        <w:rPr>
          <w:bCs/>
          <w:b/>
        </w:rPr>
        <w:t xml:space="preserve">Case Study 1: South Florida Public School District Partnership</w:t>
      </w:r>
    </w:p>
    <w:p>
      <w:pPr>
        <w:pStyle w:val="BodyText"/>
      </w:pPr>
      <w:r>
        <w:t xml:space="preserve">The Curriculum Developer team re-engineered our K-12 digital literacy curriculum to include Miami-specific content (e.g., "Navigating MIA's Airport Logistics," "Coral Reef Conservation Projects"). This resulted in a $450K contract renewal with 28 schools – a 33% larger deal than previous year. Sales Director Maria Lopez noted: "The Miami-specific curriculum made our proposal impossible to ignore for district administrators who saw immediate relevance."</w:t>
      </w:r>
    </w:p>
    <w:p>
      <w:pPr>
        <w:pStyle w:val="BodyText"/>
      </w:pPr>
      <w:r>
        <w:rPr>
          <w:bCs/>
          <w:b/>
        </w:rPr>
        <w:t xml:space="preserve">Case Study 2: Tech Startup Accelerator Program</w:t>
      </w:r>
    </w:p>
    <w:p>
      <w:pPr>
        <w:pStyle w:val="BodyText"/>
      </w:pPr>
      <w:r>
        <w:t xml:space="preserve">For Miami's rising tech incubator "LaunchPad," the Curriculum Developer created a 12-week "Miami Tech Ecosystem" program featuring local success stories (e.g., "How Curology Built from Brickell to Global"). This drove a 65% upsell rate on our premium analytics package, generating $210K in incremental revenue.</w:t>
      </w:r>
    </w:p>
    <w:bookmarkEnd w:id="23"/>
    <w:bookmarkStart w:id="24" w:name="v.-challenges-strategic-adjustments"/>
    <w:p>
      <w:pPr>
        <w:pStyle w:val="Heading3"/>
      </w:pPr>
      <w:r>
        <w:t xml:space="preserve">V. Challenges &amp; Strategic Adjustments</w:t>
      </w:r>
    </w:p>
    <w:p>
      <w:pPr>
        <w:pStyle w:val="FirstParagraph"/>
      </w:pPr>
      <w:r>
        <w:t xml:space="preserve">Despite strong performance, two key challenges emerged requiring Curriculum Developer intervention:</w:t>
      </w:r>
    </w:p>
    <w:p>
      <w:pPr>
        <w:numPr>
          <w:ilvl w:val="0"/>
          <w:numId w:val="1003"/>
        </w:numPr>
        <w:pStyle w:val="Compact"/>
      </w:pPr>
      <w:r>
        <w:rPr>
          <w:iCs/>
          <w:i/>
        </w:rPr>
        <w:t xml:space="preserve">Language Accessibility Gap:</w:t>
      </w:r>
      <w:r>
        <w:t xml:space="preserve"> </w:t>
      </w:r>
      <w:r>
        <w:t xml:space="preserve">Initial Spanish-language modules lacked local dialect nuances. The Curriculum Developer implemented a Miami-Spanish localization protocol (validated with Cuban-American focus groups), eliminating 12% of support tickets related to content confusion.</w:t>
      </w:r>
    </w:p>
    <w:p>
      <w:pPr>
        <w:numPr>
          <w:ilvl w:val="0"/>
          <w:numId w:val="1003"/>
        </w:numPr>
        <w:pStyle w:val="Compact"/>
      </w:pPr>
      <w:r>
        <w:rPr>
          <w:iCs/>
          <w:i/>
        </w:rPr>
        <w:t xml:space="preserve">Industry Alignment Shifts:</w:t>
      </w:r>
      <w:r>
        <w:t xml:space="preserve"> </w:t>
      </w:r>
      <w:r>
        <w:t xml:space="preserve">As tourism rebounded post-pandemic, demand surged for "Sustainability in Hospitality" training. The Curriculum Developer rapidly pivoted from generic modules to Miami-specific content (e.g., "Eco-Tourism Certification for Key Biscayne Resorts"), capturing 79% of new industry requests.</w:t>
      </w:r>
    </w:p>
    <w:p>
      <w:pPr>
        <w:pStyle w:val="FirstParagraph"/>
      </w:pPr>
      <w:r>
        <w:t xml:space="preserve">These adjustments directly prevented potential revenue leakage exceeding $150K in Q3.</w:t>
      </w:r>
    </w:p>
    <w:bookmarkEnd w:id="24"/>
    <w:bookmarkStart w:id="25" w:name="vi.-financial-impact-analysis"/>
    <w:p>
      <w:pPr>
        <w:pStyle w:val="Heading3"/>
      </w:pPr>
      <w:r>
        <w:t xml:space="preserve">VI. Financial Impact Analysis</w:t>
      </w:r>
    </w:p>
    <w:p>
      <w:pPr>
        <w:pStyle w:val="FirstParagraph"/>
      </w:pPr>
      <w:r>
        <w:t xml:space="preserve">The Curriculum Developer's work generated a 7.8x ROI for United States Miami operations:</w:t>
      </w:r>
    </w:p>
    <w:p>
      <w:pPr>
        <w:numPr>
          <w:ilvl w:val="0"/>
          <w:numId w:val="1004"/>
        </w:numPr>
        <w:pStyle w:val="Compact"/>
      </w:pPr>
      <w:r>
        <w:t xml:space="preserve">Curriculum Development Costs: $212,500 (Q3)</w:t>
      </w:r>
    </w:p>
    <w:p>
      <w:pPr>
        <w:numPr>
          <w:ilvl w:val="0"/>
          <w:numId w:val="1004"/>
        </w:numPr>
        <w:pStyle w:val="Compact"/>
      </w:pPr>
      <w:r>
        <w:t xml:space="preserve">Direct Revenue Attributed: $1,694,800</w:t>
      </w:r>
    </w:p>
    <w:p>
      <w:pPr>
        <w:numPr>
          <w:ilvl w:val="0"/>
          <w:numId w:val="1004"/>
        </w:numPr>
        <w:pStyle w:val="Compact"/>
      </w:pPr>
      <w:r>
        <w:rPr>
          <w:bCs/>
          <w:b/>
        </w:rPr>
        <w:t xml:space="preserve">Net Profit Impact:</w:t>
      </w:r>
      <w:r>
        <w:t xml:space="preserve"> </w:t>
      </w:r>
      <w:r>
        <w:t xml:space="preserve">$1,482,300</w:t>
      </w:r>
    </w:p>
    <w:p>
      <w:pPr>
        <w:pStyle w:val="FirstParagraph"/>
      </w:pPr>
      <w:r>
        <w:t xml:space="preserve">This represents 67% of all regionally generated profit – proving that strategic curriculum development is the most potent revenue driver in our Miami operations. Notably, every dollar invested in Curriculum Developer innovation yielded $7.80 in sales returns.</w:t>
      </w:r>
    </w:p>
    <w:bookmarkEnd w:id="25"/>
    <w:bookmarkStart w:id="26" w:name="X3d2220a49f56aa4d281ad7dab1027242db53f18"/>
    <w:p>
      <w:pPr>
        <w:pStyle w:val="Heading3"/>
      </w:pPr>
      <w:r>
        <w:t xml:space="preserve">VII. Future Strategy: Scaling Miami's Success Across United States</w:t>
      </w:r>
    </w:p>
    <w:p>
      <w:pPr>
        <w:pStyle w:val="FirstParagraph"/>
      </w:pPr>
      <w:r>
        <w:t xml:space="preserve">Based on United States Miami's proven model, we propose:</w:t>
      </w:r>
    </w:p>
    <w:p>
      <w:pPr>
        <w:numPr>
          <w:ilvl w:val="0"/>
          <w:numId w:val="1005"/>
        </w:numPr>
        <w:pStyle w:val="Compact"/>
      </w:pPr>
      <w:r>
        <w:t xml:space="preserve">Establishing a "Miami Innovation Lab" to develop market-specific curriculum templates for other high-growth US regions (e.g., Houston, Atlanta)</w:t>
      </w:r>
    </w:p>
    <w:p>
      <w:pPr>
        <w:numPr>
          <w:ilvl w:val="0"/>
          <w:numId w:val="1005"/>
        </w:numPr>
        <w:pStyle w:val="Compact"/>
      </w:pPr>
      <w:r>
        <w:t xml:space="preserve">Implementing Curriculum Developer "Ambassador Programs" where top Miami talent mentor regional teams</w:t>
      </w:r>
    </w:p>
    <w:p>
      <w:pPr>
        <w:numPr>
          <w:ilvl w:val="0"/>
          <w:numId w:val="1005"/>
        </w:numPr>
        <w:pStyle w:val="Compact"/>
      </w:pPr>
      <w:r>
        <w:t xml:space="preserve">Creating a dedicated $500K budget for Q1 2024 to expand bilingual curriculum development based on Miami's successful framework</w:t>
      </w:r>
    </w:p>
    <w:p>
      <w:pPr>
        <w:pStyle w:val="FirstParagraph"/>
      </w:pPr>
      <w:r>
        <w:t xml:space="preserve">The Sales Report confirms that the Curriculum Developer role is no longer an operational function – it's a revenue engine. In United States Miami, where cultural nuance equals competitive advantage, our Curriculum Developers have become indispensable sales assets.</w:t>
      </w:r>
    </w:p>
    <w:bookmarkEnd w:id="26"/>
    <w:bookmarkStart w:id="27" w:name="viii.-conclusion"/>
    <w:p>
      <w:pPr>
        <w:pStyle w:val="Heading3"/>
      </w:pPr>
      <w:r>
        <w:t xml:space="preserve">VIII. Conclusion</w:t>
      </w:r>
    </w:p>
    <w:p>
      <w:pPr>
        <w:pStyle w:val="FirstParagraph"/>
      </w:pPr>
      <w:r>
        <w:t xml:space="preserve">This Q3 Sales Report unequivocally demonstrates that the Curriculum Developer is the strategic cornerstone of our success in United States Miami. By embedding hyperlocal relevance into every program, we've transformed curriculum development from a cost center into our most powerful sales differentiator. As Miami's educational market continues to evolve, these insights position us for 20-30% further revenue growth in 2024 through Curriculum Developer innovation alone.</w:t>
      </w:r>
    </w:p>
    <w:p>
      <w:pPr>
        <w:pStyle w:val="BodyText"/>
      </w:pPr>
      <w:r>
        <w:rPr>
          <w:bCs/>
          <w:b/>
        </w:rPr>
        <w:t xml:space="preserve">Prepared By:</w:t>
      </w:r>
      <w:r>
        <w:t xml:space="preserve"> </w:t>
      </w:r>
      <w:r>
        <w:t xml:space="preserve">Regional Sales Analytics Team</w:t>
      </w:r>
      <w:r>
        <w:br/>
      </w:r>
      <w:r>
        <w:rPr>
          <w:bCs/>
          <w:b/>
        </w:rPr>
        <w:t xml:space="preserve">Sign-off:</w:t>
      </w:r>
      <w:r>
        <w:t xml:space="preserve"> </w:t>
      </w:r>
      <w:r>
        <w:t xml:space="preserve">Carlos Mendez, Director of Sales Operations, United States Miami</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 United States Miami</dc:title>
  <dc:creator/>
  <dc:language>en</dc:language>
  <cp:keywords/>
  <dcterms:created xsi:type="dcterms:W3CDTF">2026-07-23T08:48:40Z</dcterms:created>
  <dcterms:modified xsi:type="dcterms:W3CDTF">2026-07-23T08:48:40Z</dcterms:modified>
</cp:coreProperties>
</file>

<file path=docProps/custom.xml><?xml version="1.0" encoding="utf-8"?>
<Properties xmlns="http://schemas.openxmlformats.org/officeDocument/2006/custom-properties" xmlns:vt="http://schemas.openxmlformats.org/officeDocument/2006/docPropsVTypes"/>
</file>