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3f9dcf2d54e69ecf94d9988b0168b90c2b0fb9a"/>
    <w:p>
      <w:pPr>
        <w:pStyle w:val="Heading1"/>
      </w:pPr>
      <w:r>
        <w:t xml:space="preserve">Sales Report: Strategic Curriculum Development Impact on Educational Market Growth in Ho Chi Minh City, Vietnam</w:t>
      </w:r>
    </w:p>
    <w:bookmarkStart w:id="20" w:name="executive-summary"/>
    <w:p>
      <w:pPr>
        <w:pStyle w:val="Heading2"/>
      </w:pPr>
      <w:r>
        <w:t xml:space="preserve">Executive Summary</w:t>
      </w:r>
    </w:p>
    <w:p>
      <w:pPr>
        <w:pStyle w:val="FirstParagraph"/>
      </w:pPr>
      <w:r>
        <w:t xml:space="preserve">This Sales Report details the exceptional performance of our Curriculum Developer team in Vietnam's Ho Chi Minh City (HCMC) market during Q3 2023. As a leading educational solutions provider, we've witnessed a 47% year-over-year increase in curriculum licensing revenue directly attributable to strategic curriculum development initiatives. This document validates how our specialized Curriculum Developer roles have become pivotal growth engines within the dynamic HCMC education sector, aligning with Vietnam's national education reform agenda and local market demands.</w:t>
      </w:r>
    </w:p>
    <w:bookmarkEnd w:id="20"/>
    <w:bookmarkStart w:id="21" w:name="X28ec3ba72ce079c6ebb9b95b360dad38c0f1f20"/>
    <w:p>
      <w:pPr>
        <w:pStyle w:val="Heading2"/>
      </w:pPr>
      <w:r>
        <w:t xml:space="preserve">Market Context: Ho Chi Minh City Educational Landscape</w:t>
      </w:r>
    </w:p>
    <w:p>
      <w:pPr>
        <w:pStyle w:val="FirstParagraph"/>
      </w:pPr>
      <w:r>
        <w:t xml:space="preserve">Ho Chi Minh City represents Vietnam's largest educational hub, serving over 3.5 million students across 10,000+ schools. The city's education market is undergoing unprecedented transformation driven by Vietnam's National Target Program for Education Development (2021-2030). As the nation shifts toward competency-based learning and international standards alignment, HCMC schools urgently seek localized curricula that integrate global best practices with Vietnamese cultural context. Our Curriculum Developer team has positioned itself as the critical partner in this transition, directly addressing market gaps identified through extensive stakeholder engagement across HCMC's public and private education sectors.</w:t>
      </w:r>
    </w:p>
    <w:bookmarkEnd w:id="21"/>
    <w:bookmarkStart w:id="22" w:name="Xad6024fede6e14251904a5cde3e5fe576694b1d"/>
    <w:p>
      <w:pPr>
        <w:pStyle w:val="Heading2"/>
      </w:pPr>
      <w:r>
        <w:t xml:space="preserve">Curriculum Developer Performance Highlights</w:t>
      </w:r>
    </w:p>
    <w:p>
      <w:pPr>
        <w:pStyle w:val="FirstParagraph"/>
      </w:pPr>
      <w:r>
        <w:t xml:space="preserve">Our dedicated Curriculum Developer specialists in HCMC achieved remarkable results by implementing a three-phase development framework:</w:t>
      </w:r>
    </w:p>
    <w:p>
      <w:pPr>
        <w:numPr>
          <w:ilvl w:val="0"/>
          <w:numId w:val="1001"/>
        </w:numPr>
        <w:pStyle w:val="Compact"/>
      </w:pPr>
      <w:r>
        <w:rPr>
          <w:bCs/>
          <w:b/>
        </w:rPr>
        <w:t xml:space="preserve">Needs Assessment &amp; Localization (35% time):</w:t>
      </w:r>
      <w:r>
        <w:t xml:space="preserve"> </w:t>
      </w:r>
      <w:r>
        <w:t xml:space="preserve">Conducted 127 school visits across HCMC districts, gathering insights from 4,800 teachers and administrators to adapt global frameworks (IB, Cambridge) into Vietnam-compliant curricula. This localized approach reduced curriculum adoption friction by 63%.</w:t>
      </w:r>
    </w:p>
    <w:p>
      <w:pPr>
        <w:numPr>
          <w:ilvl w:val="0"/>
          <w:numId w:val="1001"/>
        </w:numPr>
        <w:pStyle w:val="Compact"/>
      </w:pPr>
      <w:r>
        <w:rPr>
          <w:bCs/>
          <w:b/>
        </w:rPr>
        <w:t xml:space="preserve">Content Development &amp; Compliance:</w:t>
      </w:r>
      <w:r>
        <w:t xml:space="preserve"> </w:t>
      </w:r>
      <w:r>
        <w:t xml:space="preserve">Launched 18 new HCMC-specific curricula packages featuring Vietnamese history integration, environmental education aligned with Mekong Delta context, and digital literacy modules approved by the Ministry of Education. These packages achieved a 92% compliance rate with Vietnam's National General Education Curriculum.</w:t>
      </w:r>
    </w:p>
    <w:p>
      <w:pPr>
        <w:numPr>
          <w:ilvl w:val="0"/>
          <w:numId w:val="1001"/>
        </w:numPr>
        <w:pStyle w:val="Compact"/>
      </w:pPr>
      <w:r>
        <w:rPr>
          <w:bCs/>
          <w:b/>
        </w:rPr>
        <w:t xml:space="preserve">Teacher Training Integration:</w:t>
      </w:r>
      <w:r>
        <w:t xml:space="preserve"> </w:t>
      </w:r>
      <w:r>
        <w:t xml:space="preserve">Developed embedded professional development components for all curricula, increasing teacher retention rates by 38% and generating recurring revenue streams through certification programs.</w:t>
      </w:r>
    </w:p>
    <w:bookmarkEnd w:id="22"/>
    <w:bookmarkStart w:id="23" w:name="sales-impact-analysis"/>
    <w:p>
      <w:pPr>
        <w:pStyle w:val="Heading2"/>
      </w:pPr>
      <w:r>
        <w:t xml:space="preserve">Sales Impact Analysis</w:t>
      </w:r>
    </w:p>
    <w:p>
      <w:pPr>
        <w:pStyle w:val="FirstParagraph"/>
      </w:pPr>
      <w:r>
        <w:t xml:space="preserve">The direct correlation between our Curriculum Developer capabilities and sales performance is quantifiable:</w:t>
      </w:r>
    </w:p>
    <w:p>
      <w:pPr>
        <w:pStyle w:val="BodyText"/>
      </w:pPr>
      <w:r>
        <w:t xml:space="preserve">Performance Metric</w:t>
      </w:r>
    </w:p>
    <w:p>
      <w:pPr>
        <w:pStyle w:val="BodyText"/>
      </w:pPr>
      <w:r>
        <w:t xml:space="preserve">Q3 2023 (vs Q3 2022)</w:t>
      </w:r>
    </w:p>
    <w:p>
      <w:pPr>
        <w:pStyle w:val="BodyText"/>
      </w:pPr>
      <w:r>
        <w:t xml:space="preserve">Growth</w:t>
      </w:r>
    </w:p>
    <w:p>
      <w:pPr>
        <w:pStyle w:val="BodyText"/>
      </w:pPr>
      <w:r>
        <w:t xml:space="preserve">Curriculum Licensing Revenue</w:t>
      </w:r>
    </w:p>
    <w:p>
      <w:pPr>
        <w:pStyle w:val="BodyText"/>
      </w:pPr>
      <w:r>
        <w:t xml:space="preserve">VND 87.5B</w:t>
      </w:r>
    </w:p>
    <w:p>
      <w:pPr>
        <w:pStyle w:val="BodyText"/>
      </w:pPr>
      <w:r>
        <w:t xml:space="preserve">+47%</w:t>
      </w:r>
    </w:p>
    <w:p>
      <w:pPr>
        <w:pStyle w:val="BodyText"/>
      </w:pPr>
      <w:r>
        <w:t xml:space="preserve">Enterprise Contracts (School Districts)</w:t>
      </w:r>
    </w:p>
    <w:p>
      <w:pPr>
        <w:pStyle w:val="BodyText"/>
      </w:pPr>
      <w:r>
        <w:t xml:space="preserve">23</w:t>
      </w:r>
    </w:p>
    <w:p>
      <w:pPr>
        <w:pStyle w:val="BodyText"/>
      </w:pPr>
      <w:r>
        <w:t xml:space="preserve">+68%</w:t>
      </w:r>
    </w:p>
    <w:p>
      <w:pPr>
        <w:pStyle w:val="BodyText"/>
      </w:pPr>
      <w:r>
        <w:t xml:space="preserve">Customer Retention Rate</w:t>
      </w:r>
    </w:p>
    <w:p>
      <w:pPr>
        <w:pStyle w:val="BodyText"/>
      </w:pPr>
      <w:r>
        <w:t xml:space="preserve">89%</w:t>
      </w:r>
    </w:p>
    <w:p>
      <w:pPr>
        <w:pStyle w:val="BodyText"/>
      </w:pPr>
      <w:r>
        <w:rPr>
          <w:bCs/>
          <w:b/>
        </w:rPr>
        <w:t xml:space="preserve">+19% pts</w:t>
      </w:r>
    </w:p>
    <w:p>
      <w:pPr>
        <w:pStyle w:val="BodyText"/>
      </w:pPr>
      <w:r>
        <w:t xml:space="preserve">Upsell Revenue (Training/Support)</w:t>
      </w:r>
    </w:p>
    <w:p>
      <w:pPr>
        <w:pStyle w:val="BodyText"/>
      </w:pPr>
      <w:r>
        <w:t xml:space="preserve">VND 32.1B</w:t>
      </w:r>
    </w:p>
    <w:p>
      <w:pPr>
        <w:pStyle w:val="BodyText"/>
      </w:pPr>
      <w:r>
        <w:t xml:space="preserve">+54%</w:t>
      </w:r>
    </w:p>
    <w:p>
      <w:pPr>
        <w:pStyle w:val="BodyText"/>
      </w:pPr>
      <w:r>
        <w:t xml:space="preserve">Crucially, our Curriculum Developer team's localized approach drove a 3.2x higher average contract value compared to generic international curriculum packages previously sold in HCMC. Schools specifically cited "cultural relevance" and "ease of implementation" as primary purchase drivers – direct outcomes of our developer expertise.</w:t>
      </w:r>
    </w:p>
    <w:bookmarkEnd w:id="23"/>
    <w:bookmarkStart w:id="24" w:name="X535614bd52dfe5283bc3bb7c64432c7bbc5b9ba"/>
    <w:p>
      <w:pPr>
        <w:pStyle w:val="Heading2"/>
      </w:pPr>
      <w:r>
        <w:t xml:space="preserve">Strategic Differentiation in Vietnam Ho Chi Minh City</w:t>
      </w:r>
    </w:p>
    <w:p>
      <w:pPr>
        <w:pStyle w:val="FirstParagraph"/>
      </w:pPr>
      <w:r>
        <w:t xml:space="preserve">What sets our Curriculum Developer model apart in HCMC is our hyper-localized talent acquisition strategy. Unlike competitors relying on offshore development teams, we've established a 15-member HCMC-based Curriculum Developer unit comprising:</w:t>
      </w:r>
    </w:p>
    <w:p>
      <w:pPr>
        <w:numPr>
          <w:ilvl w:val="0"/>
          <w:numId w:val="1002"/>
        </w:numPr>
        <w:pStyle w:val="Compact"/>
      </w:pPr>
      <w:r>
        <w:t xml:space="preserve">8 senior developers with 10+ years' experience in Vietnam's National Education System</w:t>
      </w:r>
    </w:p>
    <w:p>
      <w:pPr>
        <w:numPr>
          <w:ilvl w:val="0"/>
          <w:numId w:val="1002"/>
        </w:numPr>
        <w:pStyle w:val="Compact"/>
      </w:pPr>
      <w:r>
        <w:t xml:space="preserve">3 bilingual specialists (Vietnamese-English) certified by the Ministry of Education</w:t>
      </w:r>
    </w:p>
    <w:p>
      <w:pPr>
        <w:numPr>
          <w:ilvl w:val="0"/>
          <w:numId w:val="1002"/>
        </w:numPr>
        <w:pStyle w:val="Compact"/>
      </w:pPr>
      <w:r>
        <w:t xml:space="preserve">4 curriculum design experts trained in HCMC's unique pedagogical landscape</w:t>
      </w:r>
    </w:p>
    <w:p>
      <w:pPr>
        <w:pStyle w:val="FirstParagraph"/>
      </w:pPr>
      <w:r>
        <w:t xml:space="preserve">This localized structure enables real-time adaptation to policy changes – such as the 2023 Vietnamese language integration mandate – and fosters trust with school administrators who prioritize locally embedded expertise. The "HCMC Curriculum Developer" brand has become synonymous with compliance and cultural intelligence in our sales cycles.</w:t>
      </w:r>
    </w:p>
    <w:bookmarkEnd w:id="24"/>
    <w:bookmarkStart w:id="25" w:name="challenges-overcome"/>
    <w:p>
      <w:pPr>
        <w:pStyle w:val="Heading2"/>
      </w:pPr>
      <w:r>
        <w:t xml:space="preserve">Challenges Overcome</w:t>
      </w:r>
    </w:p>
    <w:p>
      <w:pPr>
        <w:pStyle w:val="FirstParagraph"/>
      </w:pPr>
      <w:r>
        <w:t xml:space="preserve">Initial market entry faced significant barriers, including:</w:t>
      </w:r>
    </w:p>
    <w:p>
      <w:pPr>
        <w:numPr>
          <w:ilvl w:val="0"/>
          <w:numId w:val="1003"/>
        </w:numPr>
        <w:pStyle w:val="Compact"/>
      </w:pPr>
      <w:r>
        <w:rPr>
          <w:bCs/>
          <w:b/>
        </w:rPr>
        <w:t xml:space="preserve">Regulatory Complexity:</w:t>
      </w:r>
      <w:r>
        <w:t xml:space="preserve"> </w:t>
      </w:r>
      <w:r>
        <w:t xml:space="preserve">Navigating Vietnam's dual approval system (Ministry + Provincial Education Departments). Our Curriculum Developers resolved this through dedicated compliance units in HCMC, reducing approval timelines by 57%.</w:t>
      </w:r>
    </w:p>
    <w:p>
      <w:pPr>
        <w:numPr>
          <w:ilvl w:val="0"/>
          <w:numId w:val="1003"/>
        </w:numPr>
        <w:pStyle w:val="Compact"/>
      </w:pPr>
      <w:r>
        <w:rPr>
          <w:bCs/>
          <w:b/>
        </w:rPr>
        <w:t xml:space="preserve">Cultural Misalignment:</w:t>
      </w:r>
      <w:r>
        <w:t xml:space="preserve"> </w:t>
      </w:r>
      <w:r>
        <w:t xml:space="preserve">Early packages failed to resonate with local teaching styles. Developer teams conducted "immersion workshops" in HCMC schools, incorporating traditional Vietnamese pedagogical techniques into modern frameworks.</w:t>
      </w:r>
    </w:p>
    <w:p>
      <w:pPr>
        <w:numPr>
          <w:ilvl w:val="0"/>
          <w:numId w:val="1003"/>
        </w:numPr>
        <w:pStyle w:val="Compact"/>
      </w:pPr>
      <w:r>
        <w:rPr>
          <w:bCs/>
          <w:b/>
        </w:rPr>
        <w:t xml:space="preserve">Competitor Pressure:</w:t>
      </w:r>
      <w:r>
        <w:t xml:space="preserve"> </w:t>
      </w:r>
      <w:r>
        <w:t xml:space="preserve">Local providers offered cheaper but non-compliant solutions. Our Curriculum Developers countered with transparent compliance documentation and free implementation support – converting 28 competitive deals in Q3 alone.</w:t>
      </w:r>
    </w:p>
    <w:bookmarkEnd w:id="25"/>
    <w:bookmarkStart w:id="26" w:name="Xcd0c7d89afd59a45504208c0ceab44c5cb37ca3"/>
    <w:p>
      <w:pPr>
        <w:pStyle w:val="Heading2"/>
      </w:pPr>
      <w:r>
        <w:t xml:space="preserve">Future Roadmap for Vietnam Ho Chi Minh City</w:t>
      </w:r>
    </w:p>
    <w:p>
      <w:pPr>
        <w:pStyle w:val="FirstParagraph"/>
      </w:pPr>
      <w:r>
        <w:t xml:space="preserve">Based on HCMC's education growth trajectory (projected 9.5% annual market expansion), we've allocated significant resources to scale our Curriculum Developer model:</w:t>
      </w:r>
    </w:p>
    <w:p>
      <w:pPr>
        <w:numPr>
          <w:ilvl w:val="0"/>
          <w:numId w:val="1004"/>
        </w:numPr>
        <w:pStyle w:val="Compact"/>
      </w:pPr>
      <w:r>
        <w:rPr>
          <w:bCs/>
          <w:b/>
        </w:rPr>
        <w:t xml:space="preserve">Phase 1 (Q4 2023):</w:t>
      </w:r>
      <w:r>
        <w:t xml:space="preserve"> </w:t>
      </w:r>
      <w:r>
        <w:t xml:space="preserve">Expand developer team by 40% to cover all HCMC districts, focusing on rural-urban education equity initiatives.</w:t>
      </w:r>
    </w:p>
    <w:p>
      <w:pPr>
        <w:numPr>
          <w:ilvl w:val="0"/>
          <w:numId w:val="1004"/>
        </w:numPr>
        <w:pStyle w:val="Compact"/>
      </w:pPr>
      <w:r>
        <w:rPr>
          <w:bCs/>
          <w:b/>
        </w:rPr>
        <w:t xml:space="preserve">Phase 2 (Q1-Q2 2024):</w:t>
      </w:r>
      <w:r>
        <w:t xml:space="preserve"> </w:t>
      </w:r>
      <w:r>
        <w:t xml:space="preserve">Launch "HCMC Future Skills" curriculum suite addressing AI literacy and sustainable development goals – directly aligning with City's strategic economic plan.</w:t>
      </w:r>
    </w:p>
    <w:p>
      <w:pPr>
        <w:numPr>
          <w:ilvl w:val="0"/>
          <w:numId w:val="1004"/>
        </w:numPr>
        <w:pStyle w:val="Compact"/>
      </w:pPr>
      <w:r>
        <w:rPr>
          <w:bCs/>
          <w:b/>
        </w:rPr>
        <w:t xml:space="preserve">Phase 3 (Q3 2024):</w:t>
      </w:r>
      <w:r>
        <w:t xml:space="preserve"> </w:t>
      </w:r>
      <w:r>
        <w:t xml:space="preserve">Develop a digital curriculum marketplace platform enabling schools to customize content – projected to increase average revenue per school by 35%.</w:t>
      </w:r>
    </w:p>
    <w:bookmarkEnd w:id="26"/>
    <w:bookmarkStart w:id="27" w:name="X40efc1598e57a1ed0efa09f62e5f3f442a6620c"/>
    <w:p>
      <w:pPr>
        <w:pStyle w:val="Heading2"/>
      </w:pPr>
      <w:r>
        <w:t xml:space="preserve">Conclusion: Curriculum Developer as the Sales Catalyst</w:t>
      </w:r>
    </w:p>
    <w:p>
      <w:pPr>
        <w:pStyle w:val="FirstParagraph"/>
      </w:pPr>
      <w:r>
        <w:t xml:space="preserve">This Sales Report conclusively demonstrates that in Vietnam Ho Chi Minh City's education market, the Curriculum Developer role has evolved from a support function to our primary revenue driver. Our developers' deep contextual understanding transforms educational requirements into compelling sales propositions – proving that exceptional curriculum design directly fuels commercial success. As Vietnam accelerates its education modernization, HCMC will remain the epicenter of this transformation. We project that our Curriculum Developer team will generate over VND 180 billion in annual revenue by Q4 2024, representing 73% of our total Vietnam sales. The strategic integration of localized curriculum development with sales execution has become the non-negotiable foundation for market leadership in Vietnam's most dynamic educational hub.</w:t>
      </w:r>
    </w:p>
    <w:p>
      <w:pPr>
        <w:pStyle w:val="BodyText"/>
      </w:pPr>
      <w:r>
        <w:rPr>
          <w:bCs/>
          <w:b/>
        </w:rPr>
        <w:t xml:space="preserve">Prepared by:</w:t>
      </w:r>
      <w:r>
        <w:t xml:space="preserve"> </w:t>
      </w:r>
      <w:r>
        <w:t xml:space="preserve">International Sales Intelligence Unit</w:t>
      </w:r>
      <w:r>
        <w:br/>
      </w:r>
      <w:r>
        <w:rPr>
          <w:bCs/>
          <w:b/>
        </w:rPr>
        <w:t xml:space="preserve">For:</w:t>
      </w:r>
      <w:r>
        <w:t xml:space="preserve"> </w:t>
      </w:r>
      <w:r>
        <w:t xml:space="preserve">Executive Leadership, Southeast Asia Division</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Performance in Vietnam Ho Chi Minh City</dc:title>
  <dc:creator/>
  <dc:language>en</dc:language>
  <cp:keywords/>
  <dcterms:created xsi:type="dcterms:W3CDTF">2026-07-23T20:13:22Z</dcterms:created>
  <dcterms:modified xsi:type="dcterms:W3CDTF">2026-07-23T20:13:22Z</dcterms:modified>
</cp:coreProperties>
</file>

<file path=docProps/custom.xml><?xml version="1.0" encoding="utf-8"?>
<Properties xmlns="http://schemas.openxmlformats.org/officeDocument/2006/custom-properties" xmlns:vt="http://schemas.openxmlformats.org/officeDocument/2006/docPropsVTypes"/>
</file>