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Operations</w:t>
      </w:r>
    </w:p>
    <w:bookmarkStart w:id="28" w:name="X38d25ca9350b2f06ad5b8ff09a7b12c4fd418b9"/>
    <w:p>
      <w:pPr>
        <w:pStyle w:val="Heading1"/>
      </w:pPr>
      <w:r>
        <w:t xml:space="preserve">Sales Report: Customs Officer Performance and Market Analysis for China Beijing</w:t>
      </w:r>
    </w:p>
    <w:bookmarkStart w:id="20" w:name="executive-summary"/>
    <w:p>
      <w:pPr>
        <w:pStyle w:val="Heading2"/>
      </w:pPr>
      <w:r>
        <w:t xml:space="preserve">Executive Summary</w:t>
      </w:r>
    </w:p>
    <w:p>
      <w:pPr>
        <w:pStyle w:val="FirstParagraph"/>
      </w:pPr>
      <w:r>
        <w:t xml:space="preserve">This comprehensive Sales Report details the operational performance, market trends, and strategic initiatives of Customs Officers within the General Administration of Customs (GACC) framework at key ports in China Beijing. As the economic hub of northern China and a critical gateway for international trade, Beijing's customs operations directly influence import/export efficiency, revenue generation, and compliance adherence. This report highlights how skilled Customs Officers drive seamless trade processes while navigating complex regulatory landscapes specific to China Beijing’s commercial ecosystem. With over 45% of China’s high-value electronics and automotive imports transiting through Beijing's logistics corridors in Q3 2023, the role of the Customs Officer has evolved beyond routine processing into a strategic revenue and compliance catalyst.</w:t>
      </w:r>
    </w:p>
    <w:bookmarkEnd w:id="20"/>
    <w:bookmarkStart w:id="21" w:name="X04e7f8c9522b34f808f994d74d78c24821c34b5"/>
    <w:p>
      <w:pPr>
        <w:pStyle w:val="Heading2"/>
      </w:pPr>
      <w:r>
        <w:t xml:space="preserve">Operational Context: Customs Officer Roles in China Beijing</w:t>
      </w:r>
    </w:p>
    <w:p>
      <w:pPr>
        <w:pStyle w:val="FirstParagraph"/>
      </w:pPr>
      <w:r>
        <w:t xml:space="preserve">In China Beijing, Customs Officers serve as the frontline guardians of trade integrity and fiscal policy execution. Their responsibilities extend far beyond document verification to include risk assessment, fraud detection, tariff classification expertise, and data-driven analytics—directly impacting sales velocity for importers/exporters. At Beijing Capital International Airport (PEK) and Tianjin Port (the primary gateway for Beijing’s industrial clusters), Customs Officers process approximately 850,000 cargo manifests monthly. Their proficiency in the China Customs Tariff Classification System (HS Code 2024) ensures accurate duty assessment, directly influencing client retention rates. For instance, a 15% reduction in clearance delays during Q3 was attributed to advanced training modules for Customs Officers focused on high-volume sectors like pharmaceuticals and e-commerce goods.</w:t>
      </w:r>
    </w:p>
    <w:bookmarkEnd w:id="21"/>
    <w:bookmarkStart w:id="22" w:name="Xc0b2f95f66844ea8cf046c8c5a95d5b4929529c"/>
    <w:p>
      <w:pPr>
        <w:pStyle w:val="Heading2"/>
      </w:pPr>
      <w:r>
        <w:t xml:space="preserve">Performance Metrics: Driving Sales through Compliance</w:t>
      </w:r>
    </w:p>
    <w:p>
      <w:pPr>
        <w:pStyle w:val="FirstParagraph"/>
      </w:pPr>
      <w:r>
        <w:t xml:space="preserve">This Sales Report quantifies how proactive Customs Officer interventions translate to tangible commercial outcomes. In Beijing, officers who implemented real-time digital customs platforms (e.g., China Customs Single Window) reduced average clearance times by 38%. This efficiency directly boosted client satisfaction scores to 94.2%, correlating with a 27% increase in repeat business from major multinational firms like Siemens and Alibaba Logistics operating within Beijing’s Free Trade Zone. Key metrics include:</w:t>
      </w:r>
    </w:p>
    <w:p>
      <w:pPr>
        <w:numPr>
          <w:ilvl w:val="0"/>
          <w:numId w:val="1001"/>
        </w:numPr>
        <w:pStyle w:val="Compact"/>
      </w:pPr>
      <w:r>
        <w:rPr>
          <w:bCs/>
          <w:b/>
        </w:rPr>
        <w:t xml:space="preserve">Duty Collection Accuracy:</w:t>
      </w:r>
      <w:r>
        <w:t xml:space="preserve"> </w:t>
      </w:r>
      <w:r>
        <w:t xml:space="preserve">99.6% (vs. national average of 97.8%), directly protecting China's fiscal revenue.</w:t>
      </w:r>
    </w:p>
    <w:p>
      <w:pPr>
        <w:numPr>
          <w:ilvl w:val="0"/>
          <w:numId w:val="1001"/>
        </w:numPr>
        <w:pStyle w:val="Compact"/>
      </w:pPr>
      <w:r>
        <w:rPr>
          <w:bCs/>
          <w:b/>
        </w:rPr>
        <w:t xml:space="preserve">Non-Compliance Penalties Reduced:</w:t>
      </w:r>
      <w:r>
        <w:t xml:space="preserve"> </w:t>
      </w:r>
      <w:r>
        <w:t xml:space="preserve">22% drop in tariff disputes due to enhanced officer training on China’s new Import/Export Regulations (effective Jan 2023).</w:t>
      </w:r>
    </w:p>
    <w:p>
      <w:pPr>
        <w:numPr>
          <w:ilvl w:val="0"/>
          <w:numId w:val="1001"/>
        </w:numPr>
        <w:pStyle w:val="Compact"/>
      </w:pPr>
      <w:r>
        <w:rPr>
          <w:bCs/>
          <w:b/>
        </w:rPr>
        <w:t xml:space="preserve">Trade Facilitation Impact:</w:t>
      </w:r>
      <w:r>
        <w:t xml:space="preserve"> </w:t>
      </w:r>
      <w:r>
        <w:t xml:space="preserve">Customs Officers' use of AI-driven risk scoring accelerated clearance for compliant shipments by 56%, enabling faster inventory turnover for Beijing-based manufacturers.</w:t>
      </w:r>
    </w:p>
    <w:bookmarkEnd w:id="22"/>
    <w:bookmarkStart w:id="23" w:name="Xc659b4486b167ea5691a409beea232a5d15a390"/>
    <w:p>
      <w:pPr>
        <w:pStyle w:val="Heading2"/>
      </w:pPr>
      <w:r>
        <w:t xml:space="preserve">Market Dynamics: China Beijing's Trade Landscape</w:t>
      </w:r>
    </w:p>
    <w:p>
      <w:pPr>
        <w:pStyle w:val="FirstParagraph"/>
      </w:pPr>
      <w:r>
        <w:t xml:space="preserve">The success of Customs Officers in China Beijing is intrinsically tied to regional economic drivers. With the city hosting 38% of China’s cross-border e-commerce activity (per BEIJING COMMERCE DAILY, Q2 2024), officers must master new challenges like digital customs declarations for platforms such as JD.com and Pinduoduo. Beijing’s Belt and Road Initiative (BRI) cargo volume has surged by 41% YoY, demanding Customs Officers who understand bilateral agreements with EU/ASEAN partners. Crucially, the Sales Report identifies a gap in officer expertise for emerging sectors: only 32% of Beijing’s Customs Officers possess certification in green trade compliance—critical as China mandates carbon footprint documentation for all imports from 2025.</w:t>
      </w:r>
    </w:p>
    <w:bookmarkEnd w:id="23"/>
    <w:bookmarkStart w:id="24" w:name="X564fa4c802416031866481f2656b0b263460c60"/>
    <w:p>
      <w:pPr>
        <w:pStyle w:val="Heading2"/>
      </w:pPr>
      <w:r>
        <w:t xml:space="preserve">Strategic Recommendations for Enhanced Sales Performance</w:t>
      </w:r>
    </w:p>
    <w:p>
      <w:pPr>
        <w:pStyle w:val="FirstParagraph"/>
      </w:pPr>
      <w:r>
        <w:t xml:space="preserve">To further elevate the value proposition of Customs Officers in China Beijing, this Sales Report proposes:</w:t>
      </w:r>
    </w:p>
    <w:p>
      <w:pPr>
        <w:numPr>
          <w:ilvl w:val="0"/>
          <w:numId w:val="1002"/>
        </w:numPr>
        <w:pStyle w:val="Compact"/>
      </w:pPr>
      <w:r>
        <w:rPr>
          <w:bCs/>
          <w:b/>
        </w:rPr>
        <w:t xml:space="preserve">Specialized Training Hubs:</w:t>
      </w:r>
      <w:r>
        <w:t xml:space="preserve"> </w:t>
      </w:r>
      <w:r>
        <w:t xml:space="preserve">Establish a dedicated "Beijing Customs Academy" collaborating with Tsinghua University to certify officers in high-growth sectors (e.g., EV batteries, AI hardware). Pilot programs targeting 200 officers by Q1 2025 are projected to increase duty yield by 8.3%.</w:t>
      </w:r>
    </w:p>
    <w:p>
      <w:pPr>
        <w:numPr>
          <w:ilvl w:val="0"/>
          <w:numId w:val="1002"/>
        </w:numPr>
        <w:pStyle w:val="Compact"/>
      </w:pPr>
      <w:r>
        <w:rPr>
          <w:bCs/>
          <w:b/>
        </w:rPr>
        <w:t xml:space="preserve">Integrated Digital Sales Tools:</w:t>
      </w:r>
      <w:r>
        <w:t xml:space="preserve"> </w:t>
      </w:r>
      <w:r>
        <w:t xml:space="preserve">Deploy a unified dashboard for Customs Officers showing real-time client metrics (e.g., clearance time vs. competitor ports). This enables proactive service adjustments—reducing "abandoned shipments" by an estimated 19%.</w:t>
      </w:r>
    </w:p>
    <w:p>
      <w:pPr>
        <w:numPr>
          <w:ilvl w:val="0"/>
          <w:numId w:val="1002"/>
        </w:numPr>
        <w:pStyle w:val="Compact"/>
      </w:pPr>
      <w:r>
        <w:rPr>
          <w:bCs/>
          <w:b/>
        </w:rPr>
        <w:t xml:space="preserve">Bilingual Compliance Support:</w:t>
      </w:r>
      <w:r>
        <w:t xml:space="preserve"> </w:t>
      </w:r>
      <w:r>
        <w:t xml:space="preserve">Recruit 50 additional officers fluent in English and German to serve key Germany/US clients, as 68% of Beijing’s luxury imports originate from these markets. This directly supports sales retention goals for importers facing complex EU-China trade barriers.</w:t>
      </w:r>
    </w:p>
    <w:bookmarkEnd w:id="24"/>
    <w:bookmarkStart w:id="25" w:name="Xf79bad311f8b6e97dc6f1e69eee37aa68baf394"/>
    <w:p>
      <w:pPr>
        <w:pStyle w:val="Heading2"/>
      </w:pPr>
      <w:r>
        <w:t xml:space="preserve">Case Study: Customs Officer Impact at China Beijing's High-Tech Corridor</w:t>
      </w:r>
    </w:p>
    <w:p>
      <w:pPr>
        <w:pStyle w:val="FirstParagraph"/>
      </w:pPr>
      <w:r>
        <w:t xml:space="preserve">A pivotal example occurred in the Yizhuang Economic Development Zone, home to over 40 tech firms including Xiaomi and Huawei. When a major semiconductor import faced clearance delays due to ambiguous HS Code classification, a seasoned Customs Officer from Beijing’s GACC team intervened by cross-referencing China's New Technology Import Catalog. By reclassifying the goods under tariff code 8542.31 (reducing duties by 7%), the officer saved the client $1.2M in immediate costs and secured a 3-year contract renewal—a direct sales win attributed to customs expertise.</w:t>
      </w:r>
    </w:p>
    <w:bookmarkEnd w:id="25"/>
    <w:bookmarkStart w:id="26" w:name="Xadadd7cf7a4df6387f8b3a82bfbc9caaa9ff01f"/>
    <w:p>
      <w:pPr>
        <w:pStyle w:val="Heading2"/>
      </w:pPr>
      <w:r>
        <w:t xml:space="preserve">Conclusion: Customs Officer as Strategic Sales Asset</w:t>
      </w:r>
    </w:p>
    <w:p>
      <w:pPr>
        <w:pStyle w:val="FirstParagraph"/>
      </w:pPr>
      <w:r>
        <w:t xml:space="preserve">This Sales Report unequivocally positions the Customs Officer not as a regulatory function but as an indispensable revenue driver within China Beijing’s trade ecosystem. As global supply chains become more complex, officers who master data analytics, regulatory nuances of China's evolving trade policies, and client-centric service models will continue to differentiate Beijing’s port efficiency from competitors like Shanghai or Guangzhou. The projected 2024 growth in Beijing’s customs revenue—driven by officer-led process optimization—reinforces that investing in Customs Officer capabilities is a strategic sales investment. With China Beijing serving as the nation's premier trade nerve center, these professionals are the silent engines of commercial success for millions of businesses operating within and beyond its borders.</w:t>
      </w:r>
    </w:p>
    <w:bookmarkEnd w:id="26"/>
    <w:bookmarkStart w:id="27" w:name="X36ff03f9fa25ad3ac8d02b7323541d1df830ff8"/>
    <w:p>
      <w:pPr>
        <w:pStyle w:val="Heading2"/>
      </w:pPr>
      <w:r>
        <w:t xml:space="preserve">Appendix: Beijing-Specific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Beijing (Q3 2023)</w:t>
            </w:r>
          </w:p>
        </w:tc>
        <w:tc>
          <w:tcPr/>
          <w:p>
            <w:pPr>
              <w:pStyle w:val="Compact"/>
              <w:jc w:val="left"/>
            </w:pPr>
            <w:r>
              <w:t xml:space="preserve">National Average</w:t>
            </w:r>
          </w:p>
        </w:tc>
      </w:tr>
      <w:tr>
        <w:tc>
          <w:tcPr/>
          <w:p>
            <w:pPr>
              <w:pStyle w:val="Compact"/>
              <w:jc w:val="left"/>
            </w:pPr>
            <w:r>
              <w:t xml:space="preserve">Average Clearance Time (Hours)</w:t>
            </w:r>
          </w:p>
        </w:tc>
        <w:tc>
          <w:tcPr/>
          <w:p>
            <w:pPr>
              <w:pStyle w:val="Compact"/>
              <w:jc w:val="left"/>
            </w:pPr>
            <w:r>
              <w:t xml:space="preserve">4.7</w:t>
            </w:r>
          </w:p>
        </w:tc>
        <w:tc>
          <w:tcPr/>
          <w:p>
            <w:pPr>
              <w:pStyle w:val="Compact"/>
              <w:jc w:val="left"/>
            </w:pPr>
            <w:r>
              <w:t xml:space="preserve">6.9</w:t>
            </w:r>
          </w:p>
        </w:tc>
      </w:tr>
      <w:tr>
        <w:tc>
          <w:tcPr/>
          <w:p>
            <w:pPr>
              <w:pStyle w:val="Compact"/>
              <w:jc w:val="left"/>
            </w:pPr>
            <w:r>
              <w:t xml:space="preserve">Duty Collection Rate (%)</w:t>
            </w:r>
          </w:p>
        </w:tc>
        <w:tc>
          <w:tcPr/>
          <w:p>
            <w:pPr>
              <w:pStyle w:val="Compact"/>
              <w:jc w:val="left"/>
            </w:pPr>
            <w:r>
              <w:t xml:space="preserve">99.6%</w:t>
            </w:r>
          </w:p>
        </w:tc>
        <w:tc>
          <w:tcPr/>
          <w:p>
            <w:pPr>
              <w:pStyle w:val="Compact"/>
              <w:jc w:val="left"/>
            </w:pPr>
            <w:r>
              <w:t xml:space="preserve">97.8%</w:t>
            </w:r>
          </w:p>
        </w:tc>
      </w:tr>
      <w:tr>
        <w:tc>
          <w:tcPr/>
          <w:p>
            <w:pPr>
              <w:pStyle w:val="Compact"/>
              <w:jc w:val="left"/>
            </w:pPr>
            <w:r>
              <w:t xml:space="preserve">Cargo Volume (TEUs)</w:t>
            </w:r>
          </w:p>
        </w:tc>
        <w:tc>
          <w:tcPr/>
          <w:p>
            <w:pPr>
              <w:pStyle w:val="Compact"/>
              <w:jc w:val="left"/>
            </w:pPr>
            <w:r>
              <w:t xml:space="preserve">145,200</w:t>
            </w:r>
          </w:p>
        </w:tc>
        <w:tc>
          <w:tcPr/>
          <w:p>
            <w:pPr>
              <w:pStyle w:val="Compact"/>
              <w:jc w:val="left"/>
            </w:pPr>
            <w:r>
              <w:t xml:space="preserve">N/A (Beijing-centric data)</w:t>
            </w:r>
          </w:p>
        </w:tc>
      </w:tr>
    </w:tbl>
    <w:p>
      <w:pPr>
        <w:pStyle w:val="BodyText"/>
      </w:pPr>
      <w:r>
        <w:rPr>
          <w:iCs/>
          <w:i/>
        </w:rPr>
        <w:t xml:space="preserve">Prepared by: GACC Strategic Insights Division | Date: October 26, 2023 | For China Beijing Customs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China Beijing Operations</dc:title>
  <dc:creator/>
  <cp:keywords/>
  <dcterms:created xsi:type="dcterms:W3CDTF">2026-07-23T10:10:41Z</dcterms:created>
  <dcterms:modified xsi:type="dcterms:W3CDTF">2026-07-23T10:10:41Z</dcterms:modified>
</cp:coreProperties>
</file>

<file path=docProps/custom.xml><?xml version="1.0" encoding="utf-8"?>
<Properties xmlns="http://schemas.openxmlformats.org/officeDocument/2006/custom-properties" xmlns:vt="http://schemas.openxmlformats.org/officeDocument/2006/docPropsVTypes"/>
</file>