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Bogotá</w:t>
      </w:r>
    </w:p>
    <w:bookmarkStart w:id="28" w:name="Xb38f037fb03eb62f55eab6aa938f5440a0f361c"/>
    <w:p>
      <w:pPr>
        <w:pStyle w:val="Heading1"/>
      </w:pPr>
      <w:r>
        <w:t xml:space="preserve">Customs Officer Sales Performance Report: Colombia Bogotá</w:t>
      </w:r>
    </w:p>
    <w:bookmarkStart w:id="20" w:name="executive-summary"/>
    <w:p>
      <w:pPr>
        <w:pStyle w:val="Heading2"/>
      </w:pPr>
      <w:r>
        <w:t xml:space="preserve">Executive Summary</w:t>
      </w:r>
    </w:p>
    <w:p>
      <w:pPr>
        <w:pStyle w:val="FirstParagraph"/>
      </w:pPr>
      <w:r>
        <w:t xml:space="preserve">This comprehensive Sales Report details the operational performance of Customs Officers within the National Customs and Tax Directorate (DIAN) office in Bogotá, Colombia, covering the fiscal quarter ending September 30, 2023. As Colombia's economic engine and primary trade gateway through its capital city, Bogotá serves as a critical hub for import/export activity. This report quantifies how Customs Officers drive revenue generation through efficient clearance processes, compliance enforcement, and trade facilitation initiatives—all directly contributing to national economic growth. The findings confirm that strategic customs operations in Bogotá generate approximately 38% of Colombia's total customs revenue while maintaining world-class clearance efficiency standards.</w:t>
      </w:r>
    </w:p>
    <w:bookmarkEnd w:id="20"/>
    <w:bookmarkStart w:id="21" w:name="X1f53a5fd08050dd1e45801e89e21d019e65291d"/>
    <w:p>
      <w:pPr>
        <w:pStyle w:val="Heading2"/>
      </w:pPr>
      <w:r>
        <w:t xml:space="preserve">Operational Performance Metrics: Revenue Generation</w:t>
      </w:r>
    </w:p>
    <w:p>
      <w:pPr>
        <w:pStyle w:val="FirstParagraph"/>
      </w:pPr>
      <w:r>
        <w:t xml:space="preserve">Customs Officers in Bogotá have exceeded quarterly targets by 17.3%, collecting $428.6 million in import duties and taxes—a 19% increase from the previous quarter. This remarkable performance stems from three key initiatives:</w:t>
      </w:r>
    </w:p>
    <w:p>
      <w:pPr>
        <w:numPr>
          <w:ilvl w:val="0"/>
          <w:numId w:val="1001"/>
        </w:numPr>
        <w:pStyle w:val="Compact"/>
      </w:pPr>
      <w:r>
        <w:rPr>
          <w:bCs/>
          <w:b/>
        </w:rPr>
        <w:t xml:space="preserve">Automated Risk Assessment System (ARAS) Integration</w:t>
      </w:r>
      <w:r>
        <w:t xml:space="preserve">: Implemented across all Bogotá clearance facilities, ARAS reduced manual review times by 63%. Customs Officers now identify high-risk shipments in under 2 minutes versus the previous 15-minute average, accelerating revenue collection without compromising compliance.</w:t>
      </w:r>
    </w:p>
    <w:p>
      <w:pPr>
        <w:numPr>
          <w:ilvl w:val="0"/>
          <w:numId w:val="1001"/>
        </w:numPr>
        <w:pStyle w:val="Compact"/>
      </w:pPr>
      <w:r>
        <w:rPr>
          <w:bCs/>
          <w:b/>
        </w:rPr>
        <w:t xml:space="preserve">Trade Facilitation Partnerships</w:t>
      </w:r>
      <w:r>
        <w:t xml:space="preserve">: Collaboration with major Bogotá-based logistics firms (including DHL, UPS, and local operators) created a "Green Lane" for pre-approved compliant shipments. This reduced clearance time from 72 hours to 4 hours on average, encouraging higher-volume transactions that directly increase duty revenue.</w:t>
      </w:r>
    </w:p>
    <w:p>
      <w:pPr>
        <w:numPr>
          <w:ilvl w:val="0"/>
          <w:numId w:val="1001"/>
        </w:numPr>
        <w:pStyle w:val="Compact"/>
      </w:pPr>
      <w:r>
        <w:rPr>
          <w:bCs/>
          <w:b/>
        </w:rPr>
        <w:t xml:space="preserve">Anti-Dumping Enforcement Drive</w:t>
      </w:r>
      <w:r>
        <w:t xml:space="preserve">: Targeted operations against undervalued imports (particularly electronics and textiles) yielded $89.2 million in additional duties—representing a 31% year-over-year surge in recovered revenue.</w:t>
      </w:r>
    </w:p>
    <w:p>
      <w:pPr>
        <w:pStyle w:val="FirstParagraph"/>
      </w:pPr>
      <w:r>
        <w:t xml:space="preserve">Notably, the Bogotá office achieved a 96.7% compliance rate among importers—surpassing the national average of 89.4%. This high adherence rate directly translates to predictable revenue streams, making Customs Officers pivotal to Colombia's fiscal health.</w:t>
      </w:r>
    </w:p>
    <w:bookmarkEnd w:id="21"/>
    <w:bookmarkStart w:id="22" w:name="X1b7fbfc5f2fe794355950252f04a3b4a852e6ca"/>
    <w:p>
      <w:pPr>
        <w:pStyle w:val="Heading2"/>
      </w:pPr>
      <w:r>
        <w:t xml:space="preserve">Challenges Faced in Bogotá: Contextual Analysis</w:t>
      </w:r>
    </w:p>
    <w:p>
      <w:pPr>
        <w:pStyle w:val="FirstParagraph"/>
      </w:pPr>
      <w:r>
        <w:t xml:space="preserve">Bogotá's status as Colombia's financial and administrative capital presents unique operational complexities that impact Customs Officer performance:</w:t>
      </w:r>
    </w:p>
    <w:p>
      <w:pPr>
        <w:numPr>
          <w:ilvl w:val="0"/>
          <w:numId w:val="1002"/>
        </w:numPr>
        <w:pStyle w:val="Compact"/>
      </w:pPr>
      <w:r>
        <w:rPr>
          <w:bCs/>
          <w:b/>
        </w:rPr>
        <w:t xml:space="preserve">Urban Logistics Constraints</w:t>
      </w:r>
      <w:r>
        <w:t xml:space="preserve">: The city's dense infrastructure causes 18% of shipments to experience transit delays exceeding 48 hours. Customs Officers spend significant time coordinating with the Bogotá Transport Authority to reroute cargo, directly affecting clearance velocity and revenue realization.</w:t>
      </w:r>
    </w:p>
    <w:p>
      <w:pPr>
        <w:numPr>
          <w:ilvl w:val="0"/>
          <w:numId w:val="1002"/>
        </w:numPr>
        <w:pStyle w:val="Compact"/>
      </w:pPr>
      <w:r>
        <w:rPr>
          <w:bCs/>
          <w:b/>
        </w:rPr>
        <w:t xml:space="preserve">Complex Regulatory Landscape</w:t>
      </w:r>
      <w:r>
        <w:t xml:space="preserve">: Colombia's diverse trade agreements (including MERCOSUR, USMCA, and ASEAN) require Officers to navigate overlapping tariff structures. Bogotá handles 42% of Colombia's bilateral trade deals—demanding specialized knowledge that impacts processing accuracy and revenue capture.</w:t>
      </w:r>
    </w:p>
    <w:p>
      <w:pPr>
        <w:numPr>
          <w:ilvl w:val="0"/>
          <w:numId w:val="1002"/>
        </w:numPr>
        <w:pStyle w:val="Compact"/>
      </w:pPr>
      <w:r>
        <w:rPr>
          <w:bCs/>
          <w:b/>
        </w:rPr>
        <w:t xml:space="preserve">Corruption Risks</w:t>
      </w:r>
      <w:r>
        <w:t xml:space="preserve">: As the nation's primary customs hub, Bogotá faces heightened pressure from smuggling syndicates attempting to exploit its 270,000 annual import entries. Customs Officers implemented a "Transparent Clearance" digital ledger system that reduced bribery attempts by 61% in Q3.</w:t>
      </w:r>
    </w:p>
    <w:p>
      <w:pPr>
        <w:pStyle w:val="FirstParagraph"/>
      </w:pPr>
      <w:r>
        <w:t xml:space="preserve">Despite these challenges, the Bogotá office maintained zero major compliance breaches during the reporting period—a testament to Officer vigilance and adaptive strategies.</w:t>
      </w:r>
    </w:p>
    <w:bookmarkEnd w:id="22"/>
    <w:bookmarkStart w:id="25" w:name="Xa73c422591af2270e4575e1386d71ad2284f3e0"/>
    <w:p>
      <w:pPr>
        <w:pStyle w:val="Heading2"/>
      </w:pPr>
      <w:r>
        <w:t xml:space="preserve">Strategic Initiatives Impacting Revenue Generation</w:t>
      </w:r>
    </w:p>
    <w:p>
      <w:pPr>
        <w:pStyle w:val="FirstParagraph"/>
      </w:pPr>
      <w:r>
        <w:t xml:space="preserve">This quarter's success stems from two transformative programs spearheaded by Customs Officers in Bogotá:</w:t>
      </w:r>
    </w:p>
    <w:bookmarkStart w:id="23" w:name="bogotá-trade-accelerator-program"/>
    <w:p>
      <w:pPr>
        <w:pStyle w:val="Heading3"/>
      </w:pPr>
      <w:r>
        <w:t xml:space="preserve">1. "Bogotá Trade Accelerator" Program</w:t>
      </w:r>
    </w:p>
    <w:p>
      <w:pPr>
        <w:pStyle w:val="FirstParagraph"/>
      </w:pPr>
      <w:r>
        <w:t xml:space="preserve">Customs Officers established dedicated industry-specific lanes for key Bogotá economic sectors:</w:t>
      </w:r>
    </w:p>
    <w:p>
      <w:pPr>
        <w:numPr>
          <w:ilvl w:val="0"/>
          <w:numId w:val="1003"/>
        </w:numPr>
        <w:pStyle w:val="Compact"/>
      </w:pPr>
      <w:r>
        <w:rPr>
          <w:bCs/>
          <w:b/>
        </w:rPr>
        <w:t xml:space="preserve">Pharmaceutical Sector</w:t>
      </w:r>
      <w:r>
        <w:t xml:space="preserve">: 24-hour clearance for life-saving drugs, generating $12.8M in duties while supporting public health initiatives.</w:t>
      </w:r>
    </w:p>
    <w:p>
      <w:pPr>
        <w:numPr>
          <w:ilvl w:val="0"/>
          <w:numId w:val="1003"/>
        </w:numPr>
        <w:pStyle w:val="Compact"/>
      </w:pPr>
      <w:r>
        <w:rPr>
          <w:bCs/>
          <w:b/>
        </w:rPr>
        <w:t xml:space="preserve">Agri-Export Corridor</w:t>
      </w:r>
      <w:r>
        <w:t xml:space="preserve">: Priority processing for fresh produce exports (coffee, cut flowers) to European markets. This boosted duty revenue by $34.6M and supported 18,000+ local jobs.</w:t>
      </w:r>
    </w:p>
    <w:p>
      <w:pPr>
        <w:pStyle w:val="FirstParagraph"/>
      </w:pPr>
      <w:r>
        <w:t xml:space="preserve">The initiative reduced average clearance time by 52% for targeted sectors—demonstrating how Customs Officers drive sales through economic enablement.</w:t>
      </w:r>
    </w:p>
    <w:bookmarkEnd w:id="23"/>
    <w:bookmarkStart w:id="24" w:name="digital-compliance-ecosystem"/>
    <w:p>
      <w:pPr>
        <w:pStyle w:val="Heading3"/>
      </w:pPr>
      <w:r>
        <w:t xml:space="preserve">2. Digital Compliance Ecosystem</w:t>
      </w:r>
    </w:p>
    <w:p>
      <w:pPr>
        <w:pStyle w:val="FirstParagraph"/>
      </w:pPr>
      <w:r>
        <w:t xml:space="preserve">Customs Officers launched Colombia's first blockchain-based customs platform in Bogotá, allowing real-time tracking of shipments from port to final destination. This innovation:</w:t>
      </w:r>
    </w:p>
    <w:p>
      <w:pPr>
        <w:numPr>
          <w:ilvl w:val="0"/>
          <w:numId w:val="1004"/>
        </w:numPr>
        <w:pStyle w:val="Compact"/>
      </w:pPr>
      <w:r>
        <w:t xml:space="preserve">Eliminated duplicate paperwork, saving businesses $17M in administrative costs</w:t>
      </w:r>
    </w:p>
    <w:p>
      <w:pPr>
        <w:numPr>
          <w:ilvl w:val="0"/>
          <w:numId w:val="1004"/>
        </w:numPr>
        <w:pStyle w:val="Compact"/>
      </w:pPr>
      <w:r>
        <w:t xml:space="preserve">Enabled predictive revenue modeling with 94% accuracy (vs. 68% previously)</w:t>
      </w:r>
    </w:p>
    <w:p>
      <w:pPr>
        <w:numPr>
          <w:ilvl w:val="0"/>
          <w:numId w:val="1004"/>
        </w:numPr>
        <w:pStyle w:val="Compact"/>
      </w:pPr>
      <w:r>
        <w:t xml:space="preserve">Created a "customs score" for importers—higher scores lead to faster processing and more business opportunities</w:t>
      </w:r>
    </w:p>
    <w:bookmarkEnd w:id="24"/>
    <w:bookmarkEnd w:id="25"/>
    <w:bookmarkStart w:id="26" w:name="future-outlook-strategic-recommendations"/>
    <w:p>
      <w:pPr>
        <w:pStyle w:val="Heading2"/>
      </w:pPr>
      <w:r>
        <w:t xml:space="preserve">Future Outlook &amp; Strategic Recommendations</w:t>
      </w:r>
    </w:p>
    <w:p>
      <w:pPr>
        <w:pStyle w:val="FirstParagraph"/>
      </w:pPr>
      <w:r>
        <w:t xml:space="preserve">Based on Bogotá's performance, we project 2024 revenue growth of 18-21% driven by three priorities:</w:t>
      </w:r>
    </w:p>
    <w:p>
      <w:pPr>
        <w:numPr>
          <w:ilvl w:val="0"/>
          <w:numId w:val="1005"/>
        </w:numPr>
        <w:pStyle w:val="Compact"/>
      </w:pPr>
      <w:r>
        <w:rPr>
          <w:bCs/>
          <w:b/>
        </w:rPr>
        <w:t xml:space="preserve">Expand AI-Powered Risk Analysis</w:t>
      </w:r>
      <w:r>
        <w:t xml:space="preserve">: Deploy machine learning models trained on Bogotá's unique trade patterns to predict smuggling trends. Projected impact: $65M additional annual revenue.</w:t>
      </w:r>
    </w:p>
    <w:p>
      <w:pPr>
        <w:numPr>
          <w:ilvl w:val="0"/>
          <w:numId w:val="1005"/>
        </w:numPr>
        <w:pStyle w:val="Compact"/>
      </w:pPr>
      <w:r>
        <w:rPr>
          <w:bCs/>
          <w:b/>
        </w:rPr>
        <w:t xml:space="preserve">Establish Bogotá Trade Hub for SMEs</w:t>
      </w:r>
      <w:r>
        <w:t xml:space="preserve">: Customs Officers will create a physical support center in the city offering free tariff consultation and compliance training. Target: 1,200+ new Colombian exporters by Q2 2024.</w:t>
      </w:r>
    </w:p>
    <w:p>
      <w:pPr>
        <w:numPr>
          <w:ilvl w:val="0"/>
          <w:numId w:val="1005"/>
        </w:numPr>
        <w:pStyle w:val="Compact"/>
      </w:pPr>
      <w:r>
        <w:rPr>
          <w:bCs/>
          <w:b/>
        </w:rPr>
        <w:t xml:space="preserve">Enhance Cross-Border Collaboration</w:t>
      </w:r>
      <w:r>
        <w:t xml:space="preserve">: Formalize partnerships with Ecuadorian and Peruvian customs offices through Bogotá as a regional hub. Projected benefit: Reduced clearance times for Andean trade by 35%.</w:t>
      </w:r>
    </w:p>
    <w:p>
      <w:pPr>
        <w:pStyle w:val="FirstParagraph"/>
      </w:pPr>
      <w:r>
        <w:t xml:space="preserve">These initiatives directly align with Colombia's National Development Plan, which identifies Bogotá as the "economic accelerator" for South America. Customs Officers will remain central to this vision through revenue-focused innovation.</w:t>
      </w:r>
    </w:p>
    <w:bookmarkEnd w:id="26"/>
    <w:bookmarkStart w:id="27" w:name="X3ec49705ad487fad25e3caad58cbfcb0e3ff89f"/>
    <w:p>
      <w:pPr>
        <w:pStyle w:val="Heading2"/>
      </w:pPr>
      <w:r>
        <w:t xml:space="preserve">Conclusion: The Customs Officer as Economic Catalyst</w:t>
      </w:r>
    </w:p>
    <w:p>
      <w:pPr>
        <w:pStyle w:val="FirstParagraph"/>
      </w:pPr>
      <w:r>
        <w:t xml:space="preserve">This Sales Report unequivocally demonstrates that in Colombia Bogotá, Customs Officers are not merely regulatory enforcers—they are strategic revenue drivers. By transforming customs operations from cost centers to economic catalysts, they generated $428.6M in the last quarter while navigating one of the world's most complex trade environments. The success metrics—revenue growth, clearance speed, compliance rates—are directly attributable to proactive Customs Officer engagement.</w:t>
      </w:r>
    </w:p>
    <w:p>
      <w:pPr>
        <w:pStyle w:val="BodyText"/>
      </w:pPr>
      <w:r>
        <w:t xml:space="preserve">As Bogotá continues to attract 34% of Colombia's foreign direct investment and serves as a hub for 70% of the country's international cargo, the role of Customs Officers will only grow in economic significance. This report underscores that investing in customs technology, training, and strategic partnerships isn't just operational—it's a national revenue imperative. The data confirms: When Customs Officers excel in Bogotá, Colombia prospers.</w:t>
      </w:r>
    </w:p>
    <w:p>
      <w:pPr>
        <w:pStyle w:val="BodyText"/>
      </w:pPr>
      <w:r>
        <w:rPr>
          <w:bCs/>
          <w:b/>
        </w:rPr>
        <w:t xml:space="preserve">Prepared by:</w:t>
      </w:r>
      <w:r>
        <w:t xml:space="preserve"> </w:t>
      </w:r>
      <w:r>
        <w:t xml:space="preserve">Directorate of International Trade Performance Analysis</w:t>
      </w:r>
      <w:r>
        <w:br/>
      </w:r>
      <w:r>
        <w:rPr>
          <w:bCs/>
          <w:b/>
        </w:rPr>
        <w:t xml:space="preserve">Date:</w:t>
      </w:r>
      <w:r>
        <w:t xml:space="preserve"> </w:t>
      </w:r>
      <w:r>
        <w:t xml:space="preserve">October 15, 2023</w:t>
      </w:r>
      <w:r>
        <w:br/>
      </w:r>
      <w:r>
        <w:rPr>
          <w:bCs/>
          <w:b/>
        </w:rPr>
        <w:t xml:space="preserve">Report Scope:</w:t>
      </w:r>
      <w:r>
        <w:t xml:space="preserve"> </w:t>
      </w:r>
      <w:r>
        <w:t xml:space="preserve">DIAN Bogotá Office | Fiscal Quarter: July-September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Colombia Bogotá</dc:title>
  <dc:creator/>
  <dc:language>en</dc:language>
  <cp:keywords/>
  <dcterms:created xsi:type="dcterms:W3CDTF">2026-07-23T22:18:09Z</dcterms:created>
  <dcterms:modified xsi:type="dcterms:W3CDTF">2026-07-23T22:18:09Z</dcterms:modified>
</cp:coreProperties>
</file>

<file path=docProps/custom.xml><?xml version="1.0" encoding="utf-8"?>
<Properties xmlns="http://schemas.openxmlformats.org/officeDocument/2006/custom-properties" xmlns:vt="http://schemas.openxmlformats.org/officeDocument/2006/docPropsVTypes"/>
</file>