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p>
    <w:bookmarkStart w:id="28" w:name="X2712deef1c61c82337eadb8e95dbb1ad36a6750"/>
    <w:p>
      <w:pPr>
        <w:pStyle w:val="Heading1"/>
      </w:pPr>
      <w:r>
        <w:t xml:space="preserve">Sales Report: Customs Operations &amp; Revenue Analysis - Egypt Alexandria Port Authority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 General, Egyptian Customs Administration</w:t>
      </w:r>
      <w:r>
        <w:br/>
      </w:r>
      <w:r>
        <w:rPr>
          <w:bCs/>
          <w:b/>
        </w:rPr>
        <w:t xml:space="preserve">Prepared By:</w:t>
      </w:r>
      <w:r>
        <w:t xml:space="preserve"> </w:t>
      </w:r>
      <w:r>
        <w:t xml:space="preserve">Senior Customs Officer, Alexandria Regional Command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customs revenue performance and operational metrics for Egypt Alexandria during Q3 2023. As the primary gateway for Mediterranean trade in Egypt, the Alexandria Customs Office recorded a 14.7% year-on-year increase in duty collection, totaling EGP 1.87 billion (approximately $50 million USD). This significant growth underscores the strategic importance of Egypt Alexandria as a commercial hub and validates our enhanced customs clearance protocols implemented by dedicated</w:t>
      </w:r>
      <w:r>
        <w:t xml:space="preserve"> </w:t>
      </w:r>
      <w:r>
        <w:rPr>
          <w:bCs/>
          <w:b/>
        </w:rPr>
        <w:t xml:space="preserve">Customs Officer</w:t>
      </w:r>
      <w:r>
        <w:t xml:space="preserve"> </w:t>
      </w:r>
      <w:r>
        <w:t xml:space="preserve">teams. The report confirms that Alexandria's customs operations remain resilient against regional economic fluctuations while driving substantial government revenue.</w:t>
      </w:r>
    </w:p>
    <w:bookmarkEnd w:id="20"/>
    <w:bookmarkStart w:id="21" w:name="X27e14081454c5616d33d103b8c7a1fa9cfce4c0"/>
    <w:p>
      <w:pPr>
        <w:pStyle w:val="Heading2"/>
      </w:pPr>
      <w:r>
        <w:t xml:space="preserve">II. Egypt Alexandria: Strategic Trade Significance</w:t>
      </w:r>
    </w:p>
    <w:p>
      <w:pPr>
        <w:pStyle w:val="FirstParagraph"/>
      </w:pPr>
      <w:r>
        <w:t xml:space="preserve">Egypt Alexandria serves as the nation's second-largest port and the Mediterranean's busiest container terminal, handling 38% of all Egyptian imports and 41% of exports. Its location between Africa, Europe, and Asia makes it indispensable for global supply chains. This report emphasizes how our customs procedures directly impact national economic health. As a</w:t>
      </w:r>
      <w:r>
        <w:t xml:space="preserve"> </w:t>
      </w:r>
      <w:r>
        <w:rPr>
          <w:bCs/>
          <w:b/>
        </w:rPr>
        <w:t xml:space="preserve">Customs Officer</w:t>
      </w:r>
      <w:r>
        <w:t xml:space="preserve"> </w:t>
      </w:r>
      <w:r>
        <w:t xml:space="preserve">operating in Egypt Alexandria, I oversee the critical balance between facilitating legitimate trade flows and enforcing tariff compliance – where every transaction contributes to the national sales revenue stream.</w:t>
      </w:r>
    </w:p>
    <w:bookmarkEnd w:id="21"/>
    <w:bookmarkStart w:id="23" w:name="X6777b24ee9e282d9f7956f80fc9d3aecabed16d"/>
    <w:p>
      <w:pPr>
        <w:pStyle w:val="Heading2"/>
      </w:pPr>
      <w:r>
        <w:t xml:space="preserve">III. Q3 2023 Revenue Breakdown (Sales Report Analysis)</w:t>
      </w:r>
    </w:p>
    <w:p>
      <w:pPr>
        <w:pStyle w:val="FirstParagraph"/>
      </w:pPr>
      <w:r>
        <w:t xml:space="preserve">Revenue Category</w:t>
      </w:r>
    </w:p>
    <w:p>
      <w:pPr>
        <w:pStyle w:val="BodyText"/>
      </w:pPr>
      <w:r>
        <w:t xml:space="preserve">Q3 2023 (EGP)</w:t>
      </w:r>
    </w:p>
    <w:p>
      <w:pPr>
        <w:pStyle w:val="BodyText"/>
      </w:pPr>
      <w:r>
        <w:t xml:space="preserve">% Change YoY</w:t>
      </w:r>
    </w:p>
    <w:p>
      <w:pPr>
        <w:pStyle w:val="BodyText"/>
      </w:pPr>
      <w:r>
        <w:t xml:space="preserve">Key Contributing Factors</w:t>
      </w:r>
    </w:p>
    <w:p>
      <w:pPr>
        <w:pStyle w:val="BodyText"/>
      </w:pPr>
      <w:r>
        <w:t xml:space="preserve">Duties on Imports</w:t>
      </w:r>
    </w:p>
    <w:p>
      <w:pPr>
        <w:pStyle w:val="BodyText"/>
      </w:pPr>
      <w:r>
        <w:t xml:space="preserve">1,054,200,000</w:t>
      </w:r>
    </w:p>
    <w:p>
      <w:pPr>
        <w:pStyle w:val="BodyText"/>
      </w:pPr>
      <w:r>
        <w:t xml:space="preserve">+17.2%</w:t>
      </w:r>
    </w:p>
    <w:p>
      <w:pPr>
        <w:pStyle w:val="BodyText"/>
      </w:pPr>
      <w:r>
        <w:t xml:space="preserve">New EU-Egypt Free Trade Agreement compliance; surge in automotive imports</w:t>
      </w:r>
    </w:p>
    <w:p>
      <w:pPr>
        <w:pStyle w:val="BodyText"/>
      </w:pPr>
      <w:r>
        <w:t xml:space="preserve">VAT Collection</w:t>
      </w:r>
    </w:p>
    <w:p>
      <w:pPr>
        <w:pStyle w:val="BodyText"/>
      </w:pPr>
      <w:r>
        <w:t xml:space="preserve">589,356,720</w:t>
      </w:r>
    </w:p>
    <w:p>
      <w:pPr>
        <w:pStyle w:val="BodyText"/>
      </w:pPr>
      <w:r>
        <w:t xml:space="preserve">+12.4%</w:t>
      </w:r>
    </w:p>
    <w:p>
      <w:pPr>
        <w:pStyle w:val="BodyText"/>
      </w:pPr>
      <w:r>
        <w:t xml:space="preserve">Increased pharmaceutical and electronics imports</w:t>
      </w:r>
    </w:p>
    <w:p>
      <w:pPr>
        <w:pStyle w:val="BodyText"/>
      </w:pPr>
      <w:r>
        <w:t xml:space="preserve">Excise Taxes (Alcohol, Tobacco)</w:t>
      </w:r>
    </w:p>
    <w:p>
      <w:pPr>
        <w:pStyle w:val="BodyText"/>
      </w:pPr>
      <w:r>
        <w:t xml:space="preserve">102,843,650</w:t>
      </w:r>
    </w:p>
    <w:p>
      <w:pPr>
        <w:pStyle w:val="BodyText"/>
      </w:pPr>
      <w:r>
        <w:t xml:space="preserve">+9.1%</w:t>
      </w:r>
    </w:p>
    <w:p>
      <w:pPr>
        <w:pStyle w:val="BodyText"/>
      </w:pPr>
      <w:r>
        <w:t xml:space="preserve">Retailer compliance drive; new monitoring system deployment</w:t>
      </w:r>
    </w:p>
    <w:p>
      <w:pPr>
        <w:pStyle w:val="BodyText"/>
      </w:pPr>
      <w:r>
        <w:t xml:space="preserve">Customs Fees &amp; Penalties</w:t>
      </w:r>
    </w:p>
    <w:p>
      <w:pPr>
        <w:pStyle w:val="BodyText"/>
      </w:pPr>
      <w:r>
        <w:t xml:space="preserve">125,724,380</w:t>
      </w:r>
    </w:p>
    <w:p>
      <w:pPr>
        <w:pStyle w:val="BodyText"/>
      </w:pPr>
      <w:r>
        <w:t xml:space="preserve">+23.6%</w:t>
      </w:r>
    </w:p>
    <w:p>
      <w:pPr>
        <w:pStyle w:val="BodyText"/>
      </w:pPr>
      <w:r>
        <w:t xml:space="preserve">Improved penalty enforcement; delayed declaration cases (18% increase)</w:t>
      </w:r>
    </w:p>
    <w:p>
      <w:pPr>
        <w:pStyle w:val="BodyText"/>
      </w:pPr>
      <w:r>
        <w:rPr>
          <w:bCs/>
          <w:b/>
        </w:rPr>
        <w:t xml:space="preserve">Total Revenue</w:t>
      </w:r>
    </w:p>
    <w:p>
      <w:pPr>
        <w:pStyle w:val="BodyText"/>
      </w:pPr>
      <w:r>
        <w:rPr>
          <w:bCs/>
          <w:b/>
        </w:rPr>
        <w:t xml:space="preserve">1,872,124,750</w:t>
      </w:r>
    </w:p>
    <w:p>
      <w:pPr>
        <w:pStyle w:val="BodyText"/>
      </w:pPr>
      <w:r>
        <w:rPr>
          <w:bCs/>
          <w:b/>
        </w:rPr>
        <w:t xml:space="preserve">+14.7%</w:t>
      </w:r>
    </w:p>
    <w:p>
      <w:pPr>
        <w:pStyle w:val="BodyText"/>
      </w:pPr>
      <w:r>
        <w:t xml:space="preserve"> </w:t>
      </w:r>
    </w:p>
    <w:bookmarkStart w:id="22" w:name="key-sales-insights"/>
    <w:p>
      <w:pPr>
        <w:pStyle w:val="Heading3"/>
      </w:pPr>
      <w:r>
        <w:t xml:space="preserve">Key Sales Insights:</w:t>
      </w:r>
    </w:p>
    <w:p>
      <w:pPr>
        <w:numPr>
          <w:ilvl w:val="0"/>
          <w:numId w:val="1001"/>
        </w:numPr>
        <w:pStyle w:val="Compact"/>
      </w:pPr>
      <w:r>
        <w:rPr>
          <w:iCs/>
          <w:i/>
        </w:rPr>
        <w:t xml:space="preserve">Automotive Sector Dominance:</w:t>
      </w:r>
      <w:r>
        <w:t xml:space="preserve"> </w:t>
      </w:r>
      <w:r>
        <w:t xml:space="preserve">29% of import duty revenue came from cars and parts, reflecting Alexandria's role as Egypt's primary vehicle distribution hub.</w:t>
      </w:r>
    </w:p>
    <w:p>
      <w:pPr>
        <w:numPr>
          <w:ilvl w:val="0"/>
          <w:numId w:val="1001"/>
        </w:numPr>
        <w:pStyle w:val="Compact"/>
      </w:pPr>
      <w:r>
        <w:rPr>
          <w:iCs/>
          <w:i/>
        </w:rPr>
        <w:t xml:space="preserve">E-Commerce Surge:</w:t>
      </w:r>
      <w:r>
        <w:t xml:space="preserve"> </w:t>
      </w:r>
      <w:r>
        <w:t xml:space="preserve">43% rise in small parcel imports (e.g., Amazon, Noon shipments) drove VAT growth by capturing previously unaccounted transactions.</w:t>
      </w:r>
    </w:p>
    <w:p>
      <w:pPr>
        <w:numPr>
          <w:ilvl w:val="0"/>
          <w:numId w:val="1001"/>
        </w:numPr>
        <w:pStyle w:val="Compact"/>
      </w:pPr>
      <w:r>
        <w:rPr>
          <w:iCs/>
          <w:i/>
        </w:rPr>
        <w:t xml:space="preserve">Penalty Revenue Uptick:</w:t>
      </w:r>
      <w:r>
        <w:t xml:space="preserve"> </w:t>
      </w:r>
      <w:r>
        <w:t xml:space="preserve">The 23.6% increase demonstrates our Customs Officer teams' enhanced capability to identify non-compliance through AI-driven risk assessment tools.</w:t>
      </w:r>
    </w:p>
    <w:bookmarkEnd w:id="22"/>
    <w:bookmarkEnd w:id="23"/>
    <w:bookmarkStart w:id="24" w:name="Xad98c151bf386048805bfbc3ee24f73bda5a6c0"/>
    <w:p>
      <w:pPr>
        <w:pStyle w:val="Heading2"/>
      </w:pPr>
      <w:r>
        <w:t xml:space="preserve">IV. Operational Excellence by Egypt Alexandria Customs Officer Teams</w:t>
      </w:r>
    </w:p>
    <w:p>
      <w:pPr>
        <w:pStyle w:val="FirstParagraph"/>
      </w:pPr>
      <w:r>
        <w:t xml:space="preserve">The success of this Sales Report stems from the proactive work of 375 frontline</w:t>
      </w:r>
      <w:r>
        <w:t xml:space="preserve"> </w:t>
      </w:r>
      <w:r>
        <w:rPr>
          <w:bCs/>
          <w:b/>
        </w:rPr>
        <w:t xml:space="preserve">Customs Officer</w:t>
      </w:r>
      <w:r>
        <w:t xml:space="preserve"> </w:t>
      </w:r>
      <w:r>
        <w:t xml:space="preserve">personnel across Alexandria's three main ports (Port Said, Western Harbor, and Eastern Port). Critical initiatives include:</w:t>
      </w:r>
    </w:p>
    <w:p>
      <w:pPr>
        <w:numPr>
          <w:ilvl w:val="0"/>
          <w:numId w:val="1002"/>
        </w:numPr>
        <w:pStyle w:val="Compact"/>
      </w:pPr>
      <w:r>
        <w:rPr>
          <w:bCs/>
          <w:b/>
        </w:rPr>
        <w:t xml:space="preserve">Automated Declaration System (ADS):</w:t>
      </w:r>
      <w:r>
        <w:t xml:space="preserve"> </w:t>
      </w:r>
      <w:r>
        <w:t xml:space="preserve">Reduced clearance times from 72 to 18 hours, directly increasing throughput volume by 22% and generating additional duty revenue.</w:t>
      </w:r>
    </w:p>
    <w:p>
      <w:pPr>
        <w:numPr>
          <w:ilvl w:val="0"/>
          <w:numId w:val="1002"/>
        </w:numPr>
        <w:pStyle w:val="Compact"/>
      </w:pPr>
      <w:r>
        <w:rPr>
          <w:bCs/>
          <w:b/>
        </w:rPr>
        <w:t xml:space="preserve">Cross-Border Compliance Units:</w:t>
      </w:r>
      <w:r>
        <w:t xml:space="preserve"> </w:t>
      </w:r>
      <w:r>
        <w:t xml:space="preserve">Dedicated teams targeting smuggling rings reduced undervalued imports by 31%, protecting EGP 98 million in potential lost revenue.</w:t>
      </w:r>
    </w:p>
    <w:p>
      <w:pPr>
        <w:numPr>
          <w:ilvl w:val="0"/>
          <w:numId w:val="1002"/>
        </w:numPr>
        <w:pStyle w:val="Compact"/>
      </w:pPr>
      <w:r>
        <w:rPr>
          <w:bCs/>
          <w:b/>
        </w:rPr>
        <w:t xml:space="preserve">Trade Facilitation Workshops:</w:t>
      </w:r>
      <w:r>
        <w:t xml:space="preserve"> </w:t>
      </w:r>
      <w:r>
        <w:t xml:space="preserve">Monthly sessions with Alexandria Chamber of Commerce trained 1,400 exporters on tariff classification, preventing $4.2M in misdeclared duties annually.</w:t>
      </w:r>
    </w:p>
    <w:bookmarkEnd w:id="24"/>
    <w:bookmarkStart w:id="25" w:name="v.-challenges-strategic-recommendations"/>
    <w:p>
      <w:pPr>
        <w:pStyle w:val="Heading2"/>
      </w:pPr>
      <w:r>
        <w:t xml:space="preserve">V. Challenges &amp; Strategic Recommendations</w:t>
      </w:r>
    </w:p>
    <w:p>
      <w:pPr>
        <w:pStyle w:val="FirstParagraph"/>
      </w:pPr>
      <w:r>
        <w:rPr>
          <w:iCs/>
          <w:i/>
        </w:rPr>
        <w:t xml:space="preserve">Current Challenge:</w:t>
      </w:r>
      <w:r>
        <w:t xml:space="preserve"> </w:t>
      </w:r>
      <w:r>
        <w:t xml:space="preserve">Rising counterfeiting cases (37% increase in luxury goods seizures) threaten both revenue and consumer safety. A single counterfeit handbag shipment evaded EGP 450,000 in duties.</w:t>
      </w:r>
    </w:p>
    <w:p>
      <w:pPr>
        <w:pStyle w:val="BodyText"/>
      </w:pPr>
      <w:r>
        <w:rPr>
          <w:bCs/>
          <w:b/>
        </w:rPr>
        <w:t xml:space="preserve">Recommendations for Egypt Alexandria Operations:</w:t>
      </w:r>
    </w:p>
    <w:p>
      <w:pPr>
        <w:numPr>
          <w:ilvl w:val="0"/>
          <w:numId w:val="1003"/>
        </w:numPr>
        <w:pStyle w:val="Compact"/>
      </w:pPr>
      <w:r>
        <w:rPr>
          <w:iCs/>
          <w:i/>
        </w:rPr>
        <w:t xml:space="preserve">Enhance AI Analytics:</w:t>
      </w:r>
      <w:r>
        <w:t xml:space="preserve"> </w:t>
      </w:r>
      <w:r>
        <w:t xml:space="preserve">Allocate EGP 12 million for advanced image recognition to identify counterfeit goods during cargo scans (projected ROI: EGP 87M/year).</w:t>
      </w:r>
    </w:p>
    <w:p>
      <w:pPr>
        <w:numPr>
          <w:ilvl w:val="0"/>
          <w:numId w:val="1003"/>
        </w:numPr>
        <w:pStyle w:val="Compact"/>
      </w:pPr>
      <w:r>
        <w:rPr>
          <w:iCs/>
          <w:i/>
        </w:rPr>
        <w:t xml:space="preserve">Expand Port Authority Collaboration:</w:t>
      </w:r>
      <w:r>
        <w:t xml:space="preserve"> </w:t>
      </w:r>
      <w:r>
        <w:t xml:space="preserve">Formalize data-sharing with Alexandria Maritime Authority to monitor vessel manifests in real-time.</w:t>
      </w:r>
    </w:p>
    <w:p>
      <w:pPr>
        <w:numPr>
          <w:ilvl w:val="0"/>
          <w:numId w:val="1003"/>
        </w:numPr>
        <w:pStyle w:val="Compact"/>
      </w:pPr>
      <w:r>
        <w:rPr>
          <w:iCs/>
          <w:i/>
        </w:rPr>
        <w:t xml:space="preserve">Sustain Officer Training:</w:t>
      </w:r>
      <w:r>
        <w:t xml:space="preserve"> </w:t>
      </w:r>
      <w:r>
        <w:t xml:space="preserve">Implement quarterly "Sales Compliance" workshops for Customs Officer teams focusing on high-risk sectors (electronics, pharmaceuticals).</w:t>
      </w:r>
    </w:p>
    <w:bookmarkEnd w:id="25"/>
    <w:bookmarkStart w:id="27" w:name="X41b43e24105e691a32c04e78b59f8170afb5663"/>
    <w:p>
      <w:pPr>
        <w:pStyle w:val="Heading2"/>
      </w:pPr>
      <w:r>
        <w:t xml:space="preserve">VI. Conclusion: The Future of Sales Reporting in Egypt Alexandria</w:t>
      </w:r>
    </w:p>
    <w:p>
      <w:pPr>
        <w:pStyle w:val="FirstParagraph"/>
      </w:pPr>
      <w:r>
        <w:t xml:space="preserve">This Sales Report confirms that Egypt Alexandria's customs operations are not merely transactional but strategically vital to national economic health. The 14.7% revenue growth directly supports Egypt's Vision 2030 goals for trade expansion and fiscal stability. As a</w:t>
      </w:r>
      <w:r>
        <w:t xml:space="preserve"> </w:t>
      </w:r>
      <w:r>
        <w:rPr>
          <w:bCs/>
          <w:b/>
        </w:rPr>
        <w:t xml:space="preserve">Customs Officer</w:t>
      </w:r>
      <w:r>
        <w:t xml:space="preserve"> </w:t>
      </w:r>
      <w:r>
        <w:t xml:space="preserve">operating in this dynamic port city, I emphasize that our data-driven approach transforms routine duties into strategic revenue intelligence – where every scanned container contributes to national development.</w:t>
      </w:r>
    </w:p>
    <w:p>
      <w:pPr>
        <w:pStyle w:val="BodyText"/>
      </w:pPr>
      <w:r>
        <w:t xml:space="preserve">The Alexandria Customs Office will maintain its leadership role by pioneering next-gen customs technology while adhering to the highest compliance standards. This Sales Report sets a benchmark for regional port authorities, proving that meticulous customs operations in Egypt Alexandria generate sustainable economic returns beyond immediate revenue figures. Our commitment ensures Egypt remains an attractive investment destination through transparent, efficient trade pathways.</w:t>
      </w:r>
    </w:p>
    <w:bookmarkStart w:id="26" w:name="X1ec08371b1caf259ac36f07c65b3b26ef6b49de"/>
    <w:p>
      <w:pPr>
        <w:pStyle w:val="Heading3"/>
      </w:pPr>
      <w:r>
        <w:t xml:space="preserve">Appendix: Key Performance Indicators (Q3 2023)</w:t>
      </w:r>
    </w:p>
    <w:p>
      <w:pPr>
        <w:numPr>
          <w:ilvl w:val="0"/>
          <w:numId w:val="1004"/>
        </w:numPr>
        <w:pStyle w:val="Compact"/>
      </w:pPr>
      <w:r>
        <w:t xml:space="preserve">Clearance Rate: 96.8% (vs. national avg. 89.4%)</w:t>
      </w:r>
    </w:p>
    <w:p>
      <w:pPr>
        <w:numPr>
          <w:ilvl w:val="0"/>
          <w:numId w:val="1004"/>
        </w:numPr>
        <w:pStyle w:val="Compact"/>
      </w:pPr>
      <w:r>
        <w:t xml:space="preserve">Revenue Collection Efficiency: EGP 51,420 per customs officer (exceeding target by 22%)</w:t>
      </w:r>
    </w:p>
    <w:p>
      <w:pPr>
        <w:numPr>
          <w:ilvl w:val="0"/>
          <w:numId w:val="1004"/>
        </w:numPr>
        <w:pStyle w:val="Compact"/>
      </w:pPr>
      <w:r>
        <w:t xml:space="preserve">Trader Satisfaction Score: 4.3/5 (up from 3.7 in Q1)</w:t>
      </w:r>
    </w:p>
    <w:p>
      <w:pPr>
        <w:numPr>
          <w:ilvl w:val="0"/>
          <w:numId w:val="1004"/>
        </w:numPr>
        <w:pStyle w:val="Compact"/>
      </w:pPr>
      <w:r>
        <w:t xml:space="preserve">Duty Recovery Rate for Disputed Cases: 89.6% (highest in Mediterranean region)</w:t>
      </w:r>
    </w:p>
    <w:p>
      <w:pPr>
        <w:pStyle w:val="FirstParagraph"/>
      </w:pPr>
      <w:r>
        <w:rPr>
          <w:bCs/>
          <w:b/>
        </w:rPr>
        <w:t xml:space="preserve">Prepared By:</w:t>
      </w:r>
      <w:r>
        <w:t xml:space="preserve"> </w:t>
      </w:r>
      <w:r>
        <w:t xml:space="preserve">Ahmed Hassan, Senior Customs Officer</w:t>
      </w:r>
      <w:r>
        <w:br/>
      </w:r>
      <w:r>
        <w:rPr>
          <w:bCs/>
          <w:b/>
        </w:rPr>
        <w:t xml:space="preserve">Signature:</w:t>
      </w:r>
      <w:r>
        <w:t xml:space="preserve"> </w:t>
      </w:r>
      <w:r>
        <w:t xml:space="preserve">___________________</w:t>
      </w:r>
      <w:r>
        <w:br/>
      </w:r>
      <w:r>
        <w:rPr>
          <w:iCs/>
          <w:i/>
        </w:rPr>
        <w:t xml:space="preserve">Egypt Alexandria Port Authority – Customs Directorate</w:t>
      </w:r>
    </w:p>
    <w:p>
      <w:pPr>
        <w:pStyle w:val="BodyText"/>
      </w:pPr>
      <w:r>
        <w:rPr>
          <w:bCs/>
          <w:b/>
        </w:rPr>
        <w:t xml:space="preserve">Note:</w:t>
      </w:r>
      <w:r>
        <w:t xml:space="preserve"> </w:t>
      </w:r>
      <w:r>
        <w:t xml:space="preserve">This report complies with Egyptian Customs Law No. (75/1983) and National Revenue Directive (2023-6). All figures audited by the Central Administration of State Revenue. Alexandria, Egypt – The Gateway to Global Trade.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Sales Performance Report: Egypt Alexandria</dc:title>
  <dc:creator/>
  <dc:language>en</dc:language>
  <cp:keywords/>
  <dcterms:created xsi:type="dcterms:W3CDTF">2025-12-13T09:59:42Z</dcterms:created>
  <dcterms:modified xsi:type="dcterms:W3CDTF">2025-12-13T09:59:42Z</dcterms:modified>
</cp:coreProperties>
</file>

<file path=docProps/custom.xml><?xml version="1.0" encoding="utf-8"?>
<Properties xmlns="http://schemas.openxmlformats.org/officeDocument/2006/custom-properties" xmlns:vt="http://schemas.openxmlformats.org/officeDocument/2006/docPropsVTypes"/>
</file>