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Sales</w:t>
      </w:r>
      <w:r>
        <w:t xml:space="preserve"> </w:t>
      </w:r>
      <w:r>
        <w:t xml:space="preserve">Performance</w:t>
      </w:r>
      <w:r>
        <w:t xml:space="preserve"> </w:t>
      </w:r>
      <w:r>
        <w:t xml:space="preserve">Report:</w:t>
      </w:r>
      <w:r>
        <w:t xml:space="preserve"> </w:t>
      </w:r>
      <w:r>
        <w:t xml:space="preserve">Germany</w:t>
      </w:r>
      <w:r>
        <w:t xml:space="preserve"> </w:t>
      </w:r>
      <w:r>
        <w:t xml:space="preserve">Frankfurt</w:t>
      </w:r>
      <w:r>
        <w:t xml:space="preserve"> </w:t>
      </w:r>
      <w:r>
        <w:t xml:space="preserve">Operations</w:t>
      </w:r>
    </w:p>
    <w:bookmarkStart w:id="27" w:name="X1120b17509b4062a01fe43655f97bc2a8760cf7"/>
    <w:p>
      <w:pPr>
        <w:pStyle w:val="Heading1"/>
      </w:pPr>
      <w:r>
        <w:t xml:space="preserve">Annual Sales Performance Report: Customs Officer Impact Analysis - Germany Frankfurt Operations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International Trade Division</w:t>
      </w:r>
      <w:r>
        <w:br/>
      </w:r>
      <w:r>
        <w:rPr>
          <w:bCs/>
          <w:b/>
        </w:rPr>
        <w:t xml:space="preserve">Report Period:</w:t>
      </w:r>
      <w:r>
        <w:t xml:space="preserve"> </w:t>
      </w:r>
      <w:r>
        <w:t xml:space="preserve">January 1, 2023 - September 30, 2023</w:t>
      </w:r>
      <w:r>
        <w:br/>
      </w:r>
      <w:r>
        <w:rPr>
          <w:bCs/>
          <w:b/>
        </w:rPr>
        <w:t xml:space="preserve">Coverage Area:</w:t>
      </w:r>
      <w:r>
        <w:t xml:space="preserve"> </w:t>
      </w:r>
      <w:r>
        <w:t xml:space="preserve">Frankfurt International Airport (FRA) Customs Operations</w:t>
      </w:r>
    </w:p>
    <w:bookmarkStart w:id="20" w:name="i.-executive-summary"/>
    <w:p>
      <w:pPr>
        <w:pStyle w:val="Heading2"/>
      </w:pPr>
      <w:r>
        <w:t xml:space="preserve">I. Executive Summary</w:t>
      </w:r>
    </w:p>
    <w:p>
      <w:pPr>
        <w:pStyle w:val="FirstParagraph"/>
      </w:pPr>
      <w:r>
        <w:t xml:space="preserve">This comprehensive Sales Report details the critical role of our dedicated Customs Officer team in Germany Frankfurt operations, demonstrating how their expertise directly drives sales growth and operational excellence. The data conclusively proves that strategic investment in skilled customs personnel at Frankfurt has generated a 37% reduction in shipment clearance delays, translating to €12.8 million in recovered sales revenue and securing our position as a top 3 importer/exporter in the European logistics market. This document serves as definitive evidence for continued investment in Customs Officer staffing within Germany Frankfurt's dynamic trade environment.</w:t>
      </w:r>
    </w:p>
    <w:bookmarkEnd w:id="20"/>
    <w:bookmarkStart w:id="21" w:name="X98e13e1f96f50ecf6fc8e0deeee42ccf48bf4de"/>
    <w:p>
      <w:pPr>
        <w:pStyle w:val="Heading2"/>
      </w:pPr>
      <w:r>
        <w:t xml:space="preserve">II. Strategic Importance of Customs Officers in Germany Frankfurt</w:t>
      </w:r>
    </w:p>
    <w:p>
      <w:pPr>
        <w:pStyle w:val="FirstParagraph"/>
      </w:pPr>
      <w:r>
        <w:t xml:space="preserve">Frankfurt, serving as Germany's primary international trade gateway, processes over 35% of all EU cargo volume through its world-class airport hub. In this high-stakes environment, the role of a qualified Customs Officer transcends administrative function—it is a revenue-generating position that directly impacts sales velocity. Our Frankfurt-based Customs Officers possess specialized certifications in EU customs regulations (including TARIC codes and ATA Carnets) and maintain direct liaisons with German Federal Customs Office (Bundeszollverwaltung) authorities. This localized expertise prevents costly compliance errors that would otherwise trigger shipment rejections or duty miscalculations—critical factors for sales conversion in time-sensitive industries like pharmaceuticals, aerospace, and luxury goods.</w:t>
      </w:r>
    </w:p>
    <w:bookmarkEnd w:id="21"/>
    <w:bookmarkStart w:id="22" w:name="iii.-quantitative-sales-impact-analysis"/>
    <w:p>
      <w:pPr>
        <w:pStyle w:val="Heading2"/>
      </w:pPr>
      <w:r>
        <w:t xml:space="preserve">III. Quantitative Sales Impact Analysis</w:t>
      </w:r>
    </w:p>
    <w:p>
      <w:pPr>
        <w:pStyle w:val="FirstParagraph"/>
      </w:pPr>
      <w:r>
        <w:t xml:space="preserve">This section presents hard metrics demonstrating the causal relationship between Customs Officer performance and sales outcomes:</w:t>
      </w:r>
    </w:p>
    <w:p>
      <w:pPr>
        <w:pStyle w:val="BodyText"/>
      </w:pPr>
      <w:r>
        <w:t xml:space="preserve">KPI</w:t>
      </w:r>
    </w:p>
    <w:p>
      <w:pPr>
        <w:pStyle w:val="BodyText"/>
      </w:pPr>
      <w:r>
        <w:t xml:space="preserve">2022 Performance</w:t>
      </w:r>
    </w:p>
    <w:p>
      <w:pPr>
        <w:pStyle w:val="BodyText"/>
      </w:pPr>
      <w:r>
        <w:t xml:space="preserve">2023 Performance</w:t>
      </w:r>
    </w:p>
    <w:p>
      <w:pPr>
        <w:pStyle w:val="BodyText"/>
      </w:pPr>
      <w:r>
        <w:t xml:space="preserve">Y/Y Change</w:t>
      </w:r>
    </w:p>
    <w:p>
      <w:pPr>
        <w:pStyle w:val="BodyText"/>
      </w:pPr>
      <w:r>
        <w:t xml:space="preserve">Sales Impact (€)</w:t>
      </w:r>
    </w:p>
    <w:p>
      <w:pPr>
        <w:pStyle w:val="BodyText"/>
      </w:pPr>
      <w:r>
        <w:t xml:space="preserve">Average Clearance Time (Hours)</w:t>
      </w:r>
    </w:p>
    <w:p>
      <w:pPr>
        <w:pStyle w:val="BodyText"/>
      </w:pPr>
      <w:r>
        <w:t xml:space="preserve">48.7</w:t>
      </w:r>
    </w:p>
    <w:p>
      <w:pPr>
        <w:pStyle w:val="BodyText"/>
      </w:pPr>
      <w:r>
        <w:t xml:space="preserve">31.2</w:t>
      </w:r>
    </w:p>
    <w:p>
      <w:pPr>
        <w:pStyle w:val="BodyText"/>
      </w:pPr>
      <w:r>
        <w:t xml:space="preserve">-36.3%</w:t>
      </w:r>
    </w:p>
    <w:p>
      <w:pPr>
        <w:pStyle w:val="BodyText"/>
      </w:pPr>
      <w:r>
        <w:t xml:space="preserve">€5.2M recovered sales volume</w:t>
      </w:r>
    </w:p>
    <w:p>
      <w:pPr>
        <w:pStyle w:val="BodyText"/>
      </w:pPr>
      <w:r>
        <w:t xml:space="preserve">Duty Error Rate</w:t>
      </w:r>
    </w:p>
    <w:p>
      <w:pPr>
        <w:pStyle w:val="BodyText"/>
      </w:pPr>
      <w:r>
        <w:t xml:space="preserve">8.4%</w:t>
      </w:r>
    </w:p>
    <w:p>
      <w:pPr>
        <w:pStyle w:val="BodyText"/>
      </w:pPr>
      <w:r>
        <w:t xml:space="preserve">1.7%</w:t>
      </w:r>
    </w:p>
    <w:p>
      <w:pPr>
        <w:pStyle w:val="BodyText"/>
      </w:pPr>
      <w:r>
        <w:t xml:space="preserve">-79.6%</w:t>
      </w:r>
    </w:p>
    <w:p>
      <w:pPr>
        <w:pStyle w:val="BodyText"/>
      </w:pPr>
      <w:r>
        <w:t xml:space="preserve">€3.1M in avoided penalties &amp; refunds</w:t>
      </w:r>
    </w:p>
    <w:p>
      <w:pPr>
        <w:pStyle w:val="BodyText"/>
      </w:pPr>
      <w:r>
        <w:t xml:space="preserve">Cargo Release On-Time Rate</w:t>
      </w:r>
    </w:p>
    <w:p>
      <w:pPr>
        <w:pStyle w:val="BodyText"/>
      </w:pPr>
      <w:r>
        <w:t xml:space="preserve">68%</w:t>
      </w:r>
    </w:p>
    <w:p>
      <w:pPr>
        <w:pStyle w:val="BodyText"/>
      </w:pPr>
      <w:r>
        <w:t xml:space="preserve">94%</w:t>
      </w:r>
    </w:p>
    <w:p>
      <w:pPr>
        <w:pStyle w:val="BodyText"/>
      </w:pPr>
      <w:r>
        <w:t xml:space="preserve">+26%</w:t>
      </w:r>
    </w:p>
    <w:p>
      <w:pPr>
        <w:pStyle w:val="BodyText"/>
      </w:pPr>
      <w:r>
        <w:rPr>
          <w:bCs/>
          <w:b/>
        </w:rPr>
        <w:t xml:space="preserve">TOTAL SALES IMPACT</w:t>
      </w:r>
    </w:p>
    <w:p>
      <w:pPr>
        <w:pStyle w:val="BodyText"/>
      </w:pPr>
      <w:r>
        <w:rPr>
          <w:bCs/>
          <w:b/>
        </w:rPr>
        <w:t xml:space="preserve">€12.8M</w:t>
      </w:r>
    </w:p>
    <w:p>
      <w:pPr>
        <w:pStyle w:val="BodyText"/>
      </w:pPr>
      <w:r>
        <w:t xml:space="preserve"> </w:t>
      </w:r>
    </w:p>
    <w:p>
      <w:pPr>
        <w:pStyle w:val="BodyText"/>
      </w:pPr>
      <w:r>
        <w:t xml:space="preserve">These figures are not coincidental but directly attributable to our Germany Frankfurt Customs Officer team's implementation of real-time customs risk assessment protocols and proactive pre-clearance collaboration with Deutsche Post DHL. Each 1% decrease in clearance time correlates with a 0.7% increase in repeat customer orders—proving that the Customs Officer role is a strategic sales accelerator.</w:t>
      </w:r>
    </w:p>
    <w:bookmarkEnd w:id="22"/>
    <w:bookmarkStart w:id="23" w:name="X957b5e91156cb2bb7ed683f2d90cbea86563484"/>
    <w:p>
      <w:pPr>
        <w:pStyle w:val="Heading2"/>
      </w:pPr>
      <w:r>
        <w:t xml:space="preserve">IV. Case Study: Pharma Supply Chain Sales Recovery</w:t>
      </w:r>
    </w:p>
    <w:p>
      <w:pPr>
        <w:pStyle w:val="FirstParagraph"/>
      </w:pPr>
      <w:r>
        <w:t xml:space="preserve">A prime example occurred during Q2 2023 when a €4.6M pharmaceutical shipment from Singapore faced imminent customs rejection due to incomplete CE certification documentation. Our Germany Frankfurt Customs Officer, Maria Schmidt (EUCP Certified), intervened by:</w:t>
      </w:r>
    </w:p>
    <w:p>
      <w:pPr>
        <w:numPr>
          <w:ilvl w:val="0"/>
          <w:numId w:val="1001"/>
        </w:numPr>
        <w:pStyle w:val="Compact"/>
      </w:pPr>
      <w:r>
        <w:t xml:space="preserve">Directly contacting the German Federal Institute for Drugs (BfArM) to expedite verification</w:t>
      </w:r>
    </w:p>
    <w:p>
      <w:pPr>
        <w:numPr>
          <w:ilvl w:val="0"/>
          <w:numId w:val="1001"/>
        </w:numPr>
        <w:pStyle w:val="Compact"/>
      </w:pPr>
      <w:r>
        <w:t xml:space="preserve">Providing real-time electronic submission of digital certification bundles</w:t>
      </w:r>
    </w:p>
    <w:p>
      <w:pPr>
        <w:numPr>
          <w:ilvl w:val="0"/>
          <w:numId w:val="1001"/>
        </w:numPr>
        <w:pStyle w:val="Compact"/>
      </w:pPr>
      <w:r>
        <w:t xml:space="preserve">Negotiating a 24-hour "urgent medical goods" clearance pathway with Frankfurt Customs authorities</w:t>
      </w:r>
    </w:p>
    <w:p>
      <w:pPr>
        <w:pStyle w:val="FirstParagraph"/>
      </w:pPr>
      <w:r>
        <w:t xml:space="preserve">The result: The shipment cleared in 18 hours (vs. estimated 72+ hours) and was delivered to German hospital networks on schedule. This single transaction preserved €1.9M in committed sales volume and secured a long-term contract renewal with the manufacturer, representing an estimated €6.2M lifetime value acquisition—demonstrating how a Customs Officer's actions directly protect revenue streams.</w:t>
      </w:r>
    </w:p>
    <w:bookmarkEnd w:id="23"/>
    <w:bookmarkStart w:id="24" w:name="Xf9ed0c747e4a5e006b334e2fc7c762f01e064f8"/>
    <w:p>
      <w:pPr>
        <w:pStyle w:val="Heading2"/>
      </w:pPr>
      <w:r>
        <w:t xml:space="preserve">V. Competitive Differentiation in Germany Frankfurt</w:t>
      </w:r>
    </w:p>
    <w:p>
      <w:pPr>
        <w:pStyle w:val="FirstParagraph"/>
      </w:pPr>
      <w:r>
        <w:t xml:space="preserve">Frankfurt's hyper-competitive logistics landscape demands operational precision that only seasoned Customs Officers can deliver. While competitors rely on third-party brokers who incur 15-30% higher error rates, our in-house team achieves:</w:t>
      </w:r>
    </w:p>
    <w:p>
      <w:pPr>
        <w:numPr>
          <w:ilvl w:val="0"/>
          <w:numId w:val="1002"/>
        </w:numPr>
        <w:pStyle w:val="Compact"/>
      </w:pPr>
      <w:r>
        <w:rPr>
          <w:bCs/>
          <w:b/>
        </w:rPr>
        <w:t xml:space="preserve">98.4% accuracy</w:t>
      </w:r>
      <w:r>
        <w:t xml:space="preserve"> </w:t>
      </w:r>
      <w:r>
        <w:t xml:space="preserve">in HS code classification (vs. industry avg: 82%)</w:t>
      </w:r>
    </w:p>
    <w:p>
      <w:pPr>
        <w:numPr>
          <w:ilvl w:val="0"/>
          <w:numId w:val="1002"/>
        </w:numPr>
        <w:pStyle w:val="Compact"/>
      </w:pPr>
      <w:r>
        <w:rPr>
          <w:bCs/>
          <w:b/>
        </w:rPr>
        <w:t xml:space="preserve">27% faster customs entry processing</w:t>
      </w:r>
      <w:r>
        <w:t xml:space="preserve"> </w:t>
      </w:r>
      <w:r>
        <w:t xml:space="preserve">through Frankfurt's electronic Single Administrative Document (SAD) system</w:t>
      </w:r>
    </w:p>
    <w:p>
      <w:pPr>
        <w:numPr>
          <w:ilvl w:val="0"/>
          <w:numId w:val="1002"/>
        </w:numPr>
        <w:pStyle w:val="Compact"/>
      </w:pPr>
      <w:r>
        <w:rPr>
          <w:bCs/>
          <w:b/>
        </w:rPr>
        <w:t xml:space="preserve">100% compliance with Germany's new EU E-Commerce Tax regulations</w:t>
      </w:r>
    </w:p>
    <w:p>
      <w:pPr>
        <w:pStyle w:val="FirstParagraph"/>
      </w:pPr>
      <w:r>
        <w:t xml:space="preserve">This operational superiority directly fuels our sales pipeline. Customer surveys show 92% of German clients cite "seamless customs processing in Frankfurt" as their primary vendor selection criterion—making the Customs Officer role a non-negotiable revenue driver in our Germany Frankfurt operations.</w:t>
      </w:r>
    </w:p>
    <w:bookmarkEnd w:id="24"/>
    <w:bookmarkStart w:id="25" w:name="X58429c9ecf3d6c12ff8612277df5210a438974e"/>
    <w:p>
      <w:pPr>
        <w:pStyle w:val="Heading2"/>
      </w:pPr>
      <w:r>
        <w:t xml:space="preserve">VI. Investment Justification &amp; Forward-Looking Strategy</w:t>
      </w:r>
    </w:p>
    <w:p>
      <w:pPr>
        <w:pStyle w:val="FirstParagraph"/>
      </w:pPr>
      <w:r>
        <w:t xml:space="preserve">Our Sales Report confirms that each €1 invested in Germany Frankfurt Customs Officer training and technology yields €8.30 in incremental sales revenue (calculated via clearance time reduction → faster delivery → higher customer retention). We therefore recommend:</w:t>
      </w:r>
    </w:p>
    <w:p>
      <w:pPr>
        <w:numPr>
          <w:ilvl w:val="0"/>
          <w:numId w:val="1003"/>
        </w:numPr>
        <w:pStyle w:val="Compact"/>
      </w:pPr>
      <w:r>
        <w:rPr>
          <w:bCs/>
          <w:b/>
        </w:rPr>
        <w:t xml:space="preserve">Expand the Frankfurt Customs Officer team</w:t>
      </w:r>
      <w:r>
        <w:t xml:space="preserve"> </w:t>
      </w:r>
      <w:r>
        <w:t xml:space="preserve">by 2 FTEs to manage projected 20% growth in EU trade volume</w:t>
      </w:r>
    </w:p>
    <w:p>
      <w:pPr>
        <w:numPr>
          <w:ilvl w:val="0"/>
          <w:numId w:val="1003"/>
        </w:numPr>
        <w:pStyle w:val="Compact"/>
      </w:pPr>
      <w:r>
        <w:rPr>
          <w:bCs/>
          <w:b/>
        </w:rPr>
        <w:t xml:space="preserve">Deploy AI-powered customs analytics tools</w:t>
      </w:r>
      <w:r>
        <w:t xml:space="preserve"> </w:t>
      </w:r>
      <w:r>
        <w:t xml:space="preserve">for predictive duty cost modeling (projected 15% further clearance time reduction)</w:t>
      </w:r>
    </w:p>
    <w:p>
      <w:pPr>
        <w:numPr>
          <w:ilvl w:val="0"/>
          <w:numId w:val="1003"/>
        </w:numPr>
        <w:pStyle w:val="Compact"/>
      </w:pPr>
      <w:r>
        <w:rPr>
          <w:bCs/>
          <w:b/>
        </w:rPr>
        <w:t xml:space="preserve">Establish a Frankfurt Customs Advisory Council</w:t>
      </w:r>
      <w:r>
        <w:t xml:space="preserve"> </w:t>
      </w:r>
      <w:r>
        <w:t xml:space="preserve">with German Federal Customs Office to co-develop regulatory best practices</w:t>
      </w:r>
    </w:p>
    <w:p>
      <w:pPr>
        <w:pStyle w:val="FirstParagraph"/>
      </w:pPr>
      <w:r>
        <w:t xml:space="preserve">The success of our Germany Frankfurt operations is inextricably linked to the expertise of our Customs Officer personnel. This Sales Report unequivocally demonstrates that these professionals are not cost centers but strategic revenue generators—protecting existing sales, enabling new market entry, and building competitive moats in Germany's most critical trade hub.</w:t>
      </w:r>
    </w:p>
    <w:bookmarkEnd w:id="25"/>
    <w:bookmarkStart w:id="26" w:name="vii.-conclusion"/>
    <w:p>
      <w:pPr>
        <w:pStyle w:val="Heading2"/>
      </w:pPr>
      <w:r>
        <w:t xml:space="preserve">VII. Conclusion</w:t>
      </w:r>
    </w:p>
    <w:p>
      <w:pPr>
        <w:pStyle w:val="FirstParagraph"/>
      </w:pPr>
      <w:r>
        <w:t xml:space="preserve">As international trade complexity intensifies with evolving EU regulations and global supply chain volatility, the role of a Customs Officer in Germany Frankfurt has become the cornerstone of sales success. This Sales Report quantifies how our team's mastery of customs compliance directly converts operational efficiency into revenue growth. The €12.8 million in demonstrable sales impact within one fiscal year proves that investing in skilled Customs Officers at Frankfurt International Airport isn't merely prudent—it is the definitive differentiator for market leadership.</w:t>
      </w:r>
    </w:p>
    <w:p>
      <w:pPr>
        <w:pStyle w:val="BodyText"/>
      </w:pPr>
      <w:r>
        <w:rPr>
          <w:bCs/>
          <w:b/>
        </w:rPr>
        <w:t xml:space="preserve">Approved By:</w:t>
      </w:r>
      <w:r>
        <w:t xml:space="preserve"> </w:t>
      </w:r>
      <w:r>
        <w:t xml:space="preserve">Dr. Andreas Vogel, Head of International Logistics</w:t>
      </w:r>
      <w:r>
        <w:br/>
      </w:r>
      <w:r>
        <w:rPr>
          <w:bCs/>
          <w:b/>
        </w:rPr>
        <w:t xml:space="preserve">Customs Officer Department Lead:</w:t>
      </w:r>
      <w:r>
        <w:t xml:space="preserve"> </w:t>
      </w:r>
      <w:r>
        <w:t xml:space="preserve">Maria Schmidt (EUCP), Frankfurt Operations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Sales Performance Report: Germany Frankfurt Operations</dc:title>
  <dc:creator/>
  <dc:language>en</dc:language>
  <cp:keywords/>
  <dcterms:created xsi:type="dcterms:W3CDTF">2026-07-21T14:38:01Z</dcterms:created>
  <dcterms:modified xsi:type="dcterms:W3CDTF">2026-07-21T14:38:01Z</dcterms:modified>
</cp:coreProperties>
</file>

<file path=docProps/custom.xml><?xml version="1.0" encoding="utf-8"?>
<Properties xmlns="http://schemas.openxmlformats.org/officeDocument/2006/custom-properties" xmlns:vt="http://schemas.openxmlformats.org/officeDocument/2006/docPropsVTypes"/>
</file>