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Iran</w:t>
      </w:r>
      <w:r>
        <w:t xml:space="preserve"> </w:t>
      </w:r>
      <w:r>
        <w:t xml:space="preserve">Tehran</w:t>
      </w:r>
    </w:p>
    <w:bookmarkStart w:id="31" w:name="X5480b6d7ea93afd321526cacb7389e09e3e4b28"/>
    <w:p>
      <w:pPr>
        <w:pStyle w:val="Heading1"/>
      </w:pPr>
      <w:r>
        <w:t xml:space="preserve">Customs Officer Sales Performance Report: Iran Tehran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Economic Affairs and Finance, Iran</w:t>
      </w:r>
      <w:r>
        <w:br/>
      </w:r>
      <w:r>
        <w:rPr>
          <w:bCs/>
          <w:b/>
        </w:rPr>
        <w:t xml:space="preserve">Prepared By:</w:t>
      </w:r>
      <w:r>
        <w:t xml:space="preserve"> </w:t>
      </w:r>
      <w:r>
        <w:t xml:space="preserve">Directorate of Customs Operations, Tehran Branch</w:t>
      </w:r>
    </w:p>
    <w:bookmarkStart w:id="20" w:name="i.-executive-summary"/>
    <w:p>
      <w:pPr>
        <w:pStyle w:val="Heading2"/>
      </w:pPr>
      <w:r>
        <w:t xml:space="preserve">I. Executive Summary</w:t>
      </w:r>
    </w:p>
    <w:p>
      <w:pPr>
        <w:pStyle w:val="FirstParagraph"/>
      </w:pPr>
      <w:r>
        <w:t xml:space="preserve">This comprehensive Sales Report details the operational performance of Customs Officers across key entry points in Iran Tehran during Q3 2023. As frontline personnel managing cross-border trade transactions, these dedicated professionals serve as critical revenue generators for the national economy through accurate duty assessment, tariff classification, and compliance enforcement. The report quantifies their contribution to Iran's customs revenue streams while highlighting strategic improvements in operational efficiency at Tehran's primary ports of entry—including Imam Khomeini International Airport (IKA) and Chabahar Port terminals. Overall performance demonstrates a 12.7% year-on-year increase in declared transaction value managed by Customs Officers, directly supporting Iran Tehran's position as the nation's economic gateway for 47% of all import-export activity.</w:t>
      </w:r>
    </w:p>
    <w:bookmarkEnd w:id="20"/>
    <w:bookmarkStart w:id="24" w:name="X5d9575ba1b62bf0957243c873a0290462a2150e"/>
    <w:p>
      <w:pPr>
        <w:pStyle w:val="Heading2"/>
      </w:pPr>
      <w:r>
        <w:t xml:space="preserve">II. Key Performance Metrics: Customs Officer Impact</w:t>
      </w:r>
    </w:p>
    <w:bookmarkStart w:id="21" w:name="X685450ec64c5a45c9879892069b3b11b7079266"/>
    <w:p>
      <w:pPr>
        <w:pStyle w:val="Heading3"/>
      </w:pPr>
      <w:r>
        <w:t xml:space="preserve">A. Revenue Generation (The "Sales" Dimension)</w:t>
      </w:r>
    </w:p>
    <w:p>
      <w:pPr>
        <w:pStyle w:val="FirstParagraph"/>
      </w:pPr>
      <w:r>
        <w:t xml:space="preserve">The core function of a Customs Officer in Iran Tehran transcends regulatory enforcement—it directly drives national revenue through precise duty calculation on imports and exports. During Q3 2023, Tehran-based Customs Officers processed 18,472 commercial shipments valued at approximately $1.89 billion USD. Crucially, these officers identified and rectified under-declared values in 14% of transactions (vs. 9% in Q2), directly recovering an additional $53 million in uncollected duties. This "sales recovery" initiative, led by specialized Customs Officer teams at IKA's cargo terminal, represents a strategic shift from passive inspection to proactive revenue protection—proving that meticulous assessment by these officers translates to tangible fiscal benefits for Iran.</w:t>
      </w:r>
    </w:p>
    <w:bookmarkEnd w:id="21"/>
    <w:bookmarkStart w:id="22" w:name="b.-operational-efficiency-metrics"/>
    <w:p>
      <w:pPr>
        <w:pStyle w:val="Heading3"/>
      </w:pPr>
      <w:r>
        <w:t xml:space="preserve">B. Operational Efficiency Metrics</w:t>
      </w:r>
    </w:p>
    <w:p>
      <w:pPr>
        <w:pStyle w:val="FirstParagraph"/>
      </w:pPr>
      <w:r>
        <w:t xml:space="preserve">Time-to-clearance remains a critical KPI for Tehran's customs ecosystem. Customs Officers implemented digital workflow protocols in Q3, reducing average clearance times from 72 to 48 hours across all Tehran entry points. This efficiency gain—attributed directly to enhanced officer training on the IRAN-CHAM system—increased port throughput by 19%. Notably, Customs Officer teams at Tehran's International Trade Zone achieved a perfect 100% compliance rate for electronic documentation, eliminating manual processing delays that previously caused $8.2 million in daily opportunity costs for importers.</w:t>
      </w:r>
    </w:p>
    <w:bookmarkEnd w:id="22"/>
    <w:bookmarkStart w:id="23" w:name="c.-compliance-risk-management"/>
    <w:p>
      <w:pPr>
        <w:pStyle w:val="Heading3"/>
      </w:pPr>
      <w:r>
        <w:t xml:space="preserve">C. Compliance &amp; Risk Management</w:t>
      </w:r>
    </w:p>
    <w:p>
      <w:pPr>
        <w:pStyle w:val="FirstParagraph"/>
      </w:pPr>
      <w:r>
        <w:t xml:space="preserve">Iran Tehran's Customs Officers demonstrated exceptional vigilance in high-risk categories: narcotics seizures increased by 27% (14.7 tons recovered) and counterfeit goods intercepted rose by 34%. This success stems from officers' adoption of predictive analytics tools, enabling targeted inspections of shipments matching smuggling patterns. In a landmark case, Customs Officer Farhad Rezaei at Tehran Airport identified a sophisticated gold smuggling ring through transaction pattern analysis—resulting in $12.4 million in seized assets and 23 arrests. Such proactive enforcement directly protects Iran's economic sovereignty while generating significant "revenue" through asset forfeiture.</w:t>
      </w:r>
    </w:p>
    <w:bookmarkEnd w:id="23"/>
    <w:bookmarkEnd w:id="24"/>
    <w:bookmarkStart w:id="25" w:name="X536e1d50fb07e3fb978350b1c8f4a9b1860dc72"/>
    <w:p>
      <w:pPr>
        <w:pStyle w:val="Heading2"/>
      </w:pPr>
      <w:r>
        <w:t xml:space="preserve">III. Regional Performance Breakdown: Iran Tehran Focus</w:t>
      </w:r>
    </w:p>
    <w:p>
      <w:pPr>
        <w:pStyle w:val="FirstParagraph"/>
      </w:pPr>
      <w:r>
        <w:t xml:space="preserve">Entry Point</w:t>
      </w:r>
    </w:p>
    <w:p>
      <w:pPr>
        <w:pStyle w:val="BodyText"/>
      </w:pPr>
      <w:r>
        <w:t xml:space="preserve">Total Shipments (Q3)</w:t>
      </w:r>
    </w:p>
    <w:p>
      <w:pPr>
        <w:pStyle w:val="BodyText"/>
      </w:pPr>
      <w:r>
        <w:t xml:space="preserve">Duty Revenue Generated ($M)</w:t>
      </w:r>
    </w:p>
    <w:p>
      <w:pPr>
        <w:pStyle w:val="BodyText"/>
      </w:pPr>
      <w:r>
        <w:t xml:space="preserve">Revenue Growth vs Q2 (%)</w:t>
      </w:r>
    </w:p>
    <w:p>
      <w:pPr>
        <w:pStyle w:val="BodyText"/>
      </w:pPr>
      <w:r>
        <w:t xml:space="preserve">Imam Khomeini International Airport (IKA)</w:t>
      </w:r>
    </w:p>
    <w:p>
      <w:pPr>
        <w:pStyle w:val="BodyText"/>
      </w:pPr>
      <w:r>
        <w:t xml:space="preserve">8,915</w:t>
      </w:r>
    </w:p>
    <w:p>
      <w:pPr>
        <w:pStyle w:val="BodyText"/>
      </w:pPr>
      <w:r>
        <w:t xml:space="preserve">$742.3</w:t>
      </w:r>
    </w:p>
    <w:p>
      <w:pPr>
        <w:pStyle w:val="BodyText"/>
      </w:pPr>
      <w:r>
        <w:t xml:space="preserve">+14.2%</w:t>
      </w:r>
    </w:p>
    <w:p>
      <w:pPr>
        <w:pStyle w:val="BodyText"/>
      </w:pPr>
      <w:r>
        <w:t xml:space="preserve">Tehran Port of Entry (Road/Rail)</w:t>
      </w:r>
    </w:p>
    <w:p>
      <w:pPr>
        <w:pStyle w:val="BodyText"/>
      </w:pPr>
      <w:r>
        <w:t xml:space="preserve">6,789</w:t>
      </w:r>
    </w:p>
    <w:p>
      <w:pPr>
        <w:pStyle w:val="BodyText"/>
      </w:pPr>
      <w:r>
        <w:t xml:space="preserve">$589.1</w:t>
      </w:r>
    </w:p>
    <w:p>
      <w:pPr>
        <w:pStyle w:val="BodyText"/>
      </w:pPr>
      <w:r>
        <w:t xml:space="preserve">+9.8%</w:t>
      </w:r>
    </w:p>
    <w:p>
      <w:pPr>
        <w:pStyle w:val="BodyText"/>
      </w:pPr>
      <w:r>
        <w:t xml:space="preserve">Chabahar Gateway (Tehran-Linked)</w:t>
      </w:r>
    </w:p>
    <w:p>
      <w:pPr>
        <w:pStyle w:val="BodyText"/>
      </w:pPr>
      <w:r>
        <w:t xml:space="preserve">2,768</w:t>
      </w:r>
    </w:p>
    <w:p>
      <w:pPr>
        <w:pStyle w:val="BodyText"/>
      </w:pPr>
      <w:r>
        <w:t xml:space="preserve">$254.6</w:t>
      </w:r>
    </w:p>
    <w:p>
      <w:pPr>
        <w:pStyle w:val="BodyText"/>
      </w:pPr>
      <w:r>
        <w:t xml:space="preserve">+17.3%</w:t>
      </w:r>
    </w:p>
    <w:p>
      <w:pPr>
        <w:pStyle w:val="BodyText"/>
      </w:pPr>
      <w:r>
        <w:t xml:space="preserve">Grand Total (Iran Tehran)</w:t>
      </w:r>
    </w:p>
    <w:p>
      <w:pPr>
        <w:pStyle w:val="BodyText"/>
      </w:pPr>
      <w:r>
        <w:t xml:space="preserve">18,472</w:t>
      </w:r>
    </w:p>
    <w:p>
      <w:pPr>
        <w:pStyle w:val="BodyText"/>
      </w:pPr>
      <w:r>
        <w:t xml:space="preserve">$1,586.0</w:t>
      </w:r>
    </w:p>
    <w:p>
      <w:pPr>
        <w:pStyle w:val="BodyText"/>
      </w:pPr>
      <w:r>
        <w:t xml:space="preserve">+12.7%</w:t>
      </w:r>
    </w:p>
    <w:p>
      <w:pPr>
        <w:pStyle w:val="BodyText"/>
      </w:pPr>
      <w:r>
        <w:rPr>
          <w:iCs/>
          <w:i/>
        </w:rPr>
        <w:t xml:space="preserve">Note: Revenue figures represent confirmed duty/tax collections directly attributable to Customs Officer assessments.</w:t>
      </w:r>
    </w:p>
    <w:bookmarkEnd w:id="25"/>
    <w:bookmarkStart w:id="28" w:name="X5a8fd6fcd7a049ca2084fab4b6175704e820749"/>
    <w:p>
      <w:pPr>
        <w:pStyle w:val="Heading2"/>
      </w:pPr>
      <w:r>
        <w:t xml:space="preserve">IV. Strategic Initiatives Driving Performance</w:t>
      </w:r>
    </w:p>
    <w:bookmarkStart w:id="26" w:name="a.-digital-transformation-adoption"/>
    <w:p>
      <w:pPr>
        <w:pStyle w:val="Heading3"/>
      </w:pPr>
      <w:r>
        <w:t xml:space="preserve">A. Digital Transformation Adoption</w:t>
      </w:r>
    </w:p>
    <w:p>
      <w:pPr>
        <w:pStyle w:val="FirstParagraph"/>
      </w:pPr>
      <w:r>
        <w:t xml:space="preserve">The "Tehran Smart Customs" initiative—launched in July 2023—equipped all Iran Tehran Customs Officers with AI-assisted tariff classification tools and real-time risk databases. This reduced misclassification errors by 41% (from 18.7% to 10.9%), directly increasing revenue accuracy. Custom Officer Nasrin Soltani noted: "The new system identifies hidden commodity codes we previously missed, turning potential revenue gaps into verified sales." This tech integration has positioned Tehran as Iran's most efficient customs hub for high-value transactions.</w:t>
      </w:r>
    </w:p>
    <w:bookmarkEnd w:id="26"/>
    <w:bookmarkStart w:id="27" w:name="b.-cross-functional-collaboration"/>
    <w:p>
      <w:pPr>
        <w:pStyle w:val="Heading3"/>
      </w:pPr>
      <w:r>
        <w:t xml:space="preserve">B. Cross-Functional Collaboration</w:t>
      </w:r>
    </w:p>
    <w:p>
      <w:pPr>
        <w:pStyle w:val="FirstParagraph"/>
      </w:pPr>
      <w:r>
        <w:t xml:space="preserve">Customs Officers now work daily with Iran's Ministry of Industries and the Central Bank on trade finance verification. This collaboration resolved $21 million in disputed payment claims during Q3—preventing revenue leakage through false financing schemes. The Tehran Customs Office established a dedicated "Sales Recovery Unit" where officers analyze transaction histories to identify underpayment patterns, significantly improving revenue capture.</w:t>
      </w:r>
    </w:p>
    <w:bookmarkEnd w:id="27"/>
    <w:bookmarkEnd w:id="28"/>
    <w:bookmarkStart w:id="29" w:name="v.-challenges-improvement-roadmap"/>
    <w:p>
      <w:pPr>
        <w:pStyle w:val="Heading2"/>
      </w:pPr>
      <w:r>
        <w:t xml:space="preserve">V. Challenges &amp; Improvement Roadmap</w:t>
      </w:r>
    </w:p>
    <w:p>
      <w:pPr>
        <w:pStyle w:val="FirstParagraph"/>
      </w:pPr>
      <w:r>
        <w:t xml:space="preserve">Despite strong results, Iran Tehran's Customs Officers face persistent challenges: 23% of non-compliance cases involve fraudulent export documentation (requiring new officer training modules), and border congestion during peak harvest seasons strains processing capacity. Our roadmap includes:</w:t>
      </w:r>
    </w:p>
    <w:p>
      <w:pPr>
        <w:numPr>
          <w:ilvl w:val="0"/>
          <w:numId w:val="1001"/>
        </w:numPr>
        <w:pStyle w:val="Compact"/>
      </w:pPr>
      <w:r>
        <w:rPr>
          <w:bCs/>
          <w:b/>
        </w:rPr>
        <w:t xml:space="preserve">Enhanced Training:</w:t>
      </w:r>
      <w:r>
        <w:t xml:space="preserve"> </w:t>
      </w:r>
      <w:r>
        <w:t xml:space="preserve">Quarterly workshops on evolving tariff classifications for high-growth sectors (e-commerce, pharmaceuticals) starting Q1 2024.</w:t>
      </w:r>
    </w:p>
    <w:p>
      <w:pPr>
        <w:numPr>
          <w:ilvl w:val="0"/>
          <w:numId w:val="1001"/>
        </w:numPr>
        <w:pStyle w:val="Compact"/>
      </w:pPr>
      <w:r>
        <w:rPr>
          <w:bCs/>
          <w:b/>
        </w:rPr>
        <w:t xml:space="preserve">Tech Investment:</w:t>
      </w:r>
      <w:r>
        <w:t xml:space="preserve"> </w:t>
      </w:r>
      <w:r>
        <w:t xml:space="preserve">Biometric verification integration at Tehran ports to prevent document fraud (budget approved for Q4).</w:t>
      </w:r>
    </w:p>
    <w:p>
      <w:pPr>
        <w:numPr>
          <w:ilvl w:val="0"/>
          <w:numId w:val="1001"/>
        </w:numPr>
        <w:pStyle w:val="Compact"/>
      </w:pPr>
      <w:r>
        <w:rPr>
          <w:bCs/>
          <w:b/>
        </w:rPr>
        <w:t xml:space="preserve">Stakeholder Engagement:</w:t>
      </w:r>
      <w:r>
        <w:t xml:space="preserve"> </w:t>
      </w:r>
      <w:r>
        <w:t xml:space="preserve">Monthly business roundtables with Tehran Chamber of Commerce to streamline customs processes.</w:t>
      </w:r>
    </w:p>
    <w:bookmarkEnd w:id="29"/>
    <w:bookmarkStart w:id="30" w:name="X718a40e69da0057be11b366be0f8c7d78f42597"/>
    <w:p>
      <w:pPr>
        <w:pStyle w:val="Heading2"/>
      </w:pPr>
      <w:r>
        <w:t xml:space="preserve">VI. Conclusion: The Value Proposition of Iran Tehran's Customs Officers</w:t>
      </w:r>
    </w:p>
    <w:p>
      <w:pPr>
        <w:pStyle w:val="FirstParagraph"/>
      </w:pPr>
      <w:r>
        <w:t xml:space="preserve">This Sales Report underscores that Customs Officers in Iran Tehran are not merely regulatory enforcers—they are strategic revenue architects. Their daily work directly impacts the nation's fiscal health through meticulous duty assessment, risk-based enforcement, and digital innovation. With $1.586 billion generated in Q3 solely through their operational excellence (a 12.7% YoY growth), these professionals have proven that Iran Tehran's customs system operates at world-class efficiency standards while safeguarding national economic interests.</w:t>
      </w:r>
    </w:p>
    <w:p>
      <w:pPr>
        <w:pStyle w:val="BodyText"/>
      </w:pPr>
      <w:r>
        <w:t xml:space="preserve">As Iran accelerates its trade integration efforts under the Belt and Road Initiative, the role of Customs Officers will become even more pivotal. Investing in their training, technology, and cross-agency coordination—especially within Tehran's dynamic commercial ecosystem—is not merely operational; it is a fundamental strategy for securing sustainable revenue streams for Iran's future. We recommend replicating this performance model across all major customs hubs by Q2 2024 to maximize national economic benefits.</w:t>
      </w:r>
    </w:p>
    <w:p>
      <w:pPr>
        <w:pStyle w:val="BodyText"/>
      </w:pPr>
      <w:r>
        <w:rPr>
          <w:bCs/>
          <w:b/>
        </w:rPr>
        <w:t xml:space="preserve">Report Endorsed By:</w:t>
      </w:r>
      <w:r>
        <w:t xml:space="preserve"> </w:t>
      </w:r>
      <w:r>
        <w:t xml:space="preserve">Director, Tehran Customs Directorate</w:t>
      </w:r>
      <w:r>
        <w:br/>
      </w:r>
      <w:r>
        <w:rPr>
          <w:bCs/>
          <w:b/>
        </w:rPr>
        <w:t xml:space="preserve">Signatory:</w:t>
      </w:r>
      <w:r>
        <w:t xml:space="preserve"> </w:t>
      </w:r>
      <w:r>
        <w:t xml:space="preserve">Ali Reza Karimi (Director General, Iranian Customs)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Iran Tehran</dc:title>
  <dc:creator/>
  <dc:language>en</dc:language>
  <cp:keywords/>
  <dcterms:created xsi:type="dcterms:W3CDTF">2026-07-21T06:43:17Z</dcterms:created>
  <dcterms:modified xsi:type="dcterms:W3CDTF">2026-07-21T06:43:17Z</dcterms:modified>
</cp:coreProperties>
</file>

<file path=docProps/custom.xml><?xml version="1.0" encoding="utf-8"?>
<Properties xmlns="http://schemas.openxmlformats.org/officeDocument/2006/custom-properties" xmlns:vt="http://schemas.openxmlformats.org/officeDocument/2006/docPropsVTypes"/>
</file>