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Osaka</w:t>
      </w:r>
      <w:r>
        <w:t xml:space="preserve"> </w:t>
      </w:r>
      <w:r>
        <w:t xml:space="preserve">Customs</w:t>
      </w:r>
      <w:r>
        <w:t xml:space="preserve"> </w:t>
      </w:r>
      <w:r>
        <w:t xml:space="preserve">Brokerage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5c23f2e48e5dc811b1caee80b5369e1e28be75d"/>
    <w:p>
      <w:pPr>
        <w:pStyle w:val="Heading1"/>
      </w:pPr>
      <w:r>
        <w:t xml:space="preserve">Customs Brokerage Sales Performance Report: Japan Osaka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Trade Solutions Management, Osaka Branch</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performance of our customs brokerage services within Japan Osaka during the third quarter of 2024. The report highlights significant growth in trade volume, strengthened partnerships with Osaka-based clients, and enhanced operational synergy with Japan's Customs Authorities. Key to our success has been the seamless collaboration between our</w:t>
      </w:r>
      <w:r>
        <w:t xml:space="preserve"> </w:t>
      </w:r>
      <w:r>
        <w:rPr>
          <w:bCs/>
          <w:b/>
        </w:rPr>
        <w:t xml:space="preserve">Customs Officer</w:t>
      </w:r>
      <w:r>
        <w:t xml:space="preserve"> </w:t>
      </w:r>
      <w:r>
        <w:t xml:space="preserve">team and Japanese government clearance officials at Osaka Port facilities. This Sales Report confirms a 15.2% year-over-year increase in handled shipments through Osaka, directly attributable to our specialized service delivery model centered on Japan Osaka's unique trade ecosystem.</w:t>
      </w:r>
    </w:p>
    <w:bookmarkEnd w:id="20"/>
    <w:bookmarkStart w:id="21" w:name="Xf77aff28cf085891bf80ce0c26e0023519f62d6"/>
    <w:p>
      <w:pPr>
        <w:pStyle w:val="Heading2"/>
      </w:pPr>
      <w:r>
        <w:t xml:space="preserve">Market Context: Japan Osaka's Strategic Trade Position</w:t>
      </w:r>
    </w:p>
    <w:p>
      <w:pPr>
        <w:pStyle w:val="FirstParagraph"/>
      </w:pPr>
      <w:r>
        <w:t xml:space="preserve">As the economic heartland of Western Japan and home to Kansai International Airport (KIX) and the Port of Osaka – ranked among the world's top 10 busiest container ports – Osaka remains a critical gateway for global trade. The third quarter saw record-breaking import volumes into Osaka, driven by increased automotive parts procurement from ASEAN and electronics exports to North America. Our Sales Report analysis reveals that 78% of our new client acquisitions in Q3 were directly linked to Osaka-based manufacturers seeking streamlined customs clearance solutions within Japan. This underscores the strategic importance of maintaining a robust local presence for any company aiming to serve the Japan Osaka market effectively.</w:t>
      </w:r>
    </w:p>
    <w:bookmarkEnd w:id="21"/>
    <w:bookmarkStart w:id="22" w:name="Xb262ccf5f82600849563aee6e6aeee4dad93454"/>
    <w:p>
      <w:pPr>
        <w:pStyle w:val="Heading2"/>
      </w:pPr>
      <w:r>
        <w:t xml:space="preserve">Customs Officer Team Performance &amp; Client Impact</w:t>
      </w:r>
    </w:p>
    <w:p>
      <w:pPr>
        <w:pStyle w:val="FirstParagraph"/>
      </w:pPr>
      <w:r>
        <w:t xml:space="preserve">The cornerstone of our Q3 success is the exceptional performance of our dedicated Customs Officer team stationed in Osaka. These certified professionals possess deep expertise in Japan's complex customs regulations (including the new e-Customs system implementation) and maintain direct, efficient communication channels with Japan's Ministry of Finance, Customs Service (Takarazuka Office), and Osaka Port Authority. This operational reality directly translates to tangible client benefits:</w:t>
      </w:r>
    </w:p>
    <w:p>
      <w:pPr>
        <w:numPr>
          <w:ilvl w:val="0"/>
          <w:numId w:val="1001"/>
        </w:numPr>
        <w:pStyle w:val="Compact"/>
      </w:pPr>
      <w:r>
        <w:rPr>
          <w:bCs/>
          <w:b/>
        </w:rPr>
        <w:t xml:space="preserve">Reduced Clearance Times:</w:t>
      </w:r>
      <w:r>
        <w:t xml:space="preserve"> </w:t>
      </w:r>
      <w:r>
        <w:t xml:space="preserve">Average customs clearance time for client shipments decreased by 25% compared to Q2, thanks to proactive coordination with Osaka Customs Officers.</w:t>
      </w:r>
    </w:p>
    <w:p>
      <w:pPr>
        <w:numPr>
          <w:ilvl w:val="0"/>
          <w:numId w:val="1001"/>
        </w:numPr>
        <w:pStyle w:val="Compact"/>
      </w:pPr>
      <w:r>
        <w:rPr>
          <w:bCs/>
          <w:b/>
        </w:rPr>
        <w:t xml:space="preserve">Compliance Assurance:</w:t>
      </w:r>
      <w:r>
        <w:t xml:space="preserve"> </w:t>
      </w:r>
      <w:r>
        <w:t xml:space="preserve">Zero non-compliance penalties reported for Osaka-registered clients in Q3, directly resulting from our Customs Officer's meticulous documentation review against Japan's latest tariff classifications (HS Code updates).</w:t>
      </w:r>
    </w:p>
    <w:p>
      <w:pPr>
        <w:numPr>
          <w:ilvl w:val="0"/>
          <w:numId w:val="1001"/>
        </w:numPr>
        <w:pStyle w:val="Compact"/>
      </w:pPr>
      <w:r>
        <w:rPr>
          <w:bCs/>
          <w:b/>
        </w:rPr>
        <w:t xml:space="preserve">Problem Resolution:</w:t>
      </w:r>
      <w:r>
        <w:t xml:space="preserve"> </w:t>
      </w:r>
      <w:r>
        <w:t xml:space="preserve">The Osaka team resolved 98.7% of customs-related inquiries within 24 hours, leveraging their local knowledge of Japan Osaka's specific port procedures.</w:t>
      </w:r>
    </w:p>
    <w:p>
      <w:pPr>
        <w:pStyle w:val="FirstParagraph"/>
      </w:pPr>
      <w:r>
        <w:t xml:space="preserve">This level of service excellence, delivered by our on-ground Customs Officer personnel, is the primary driver behind our increased market share in the Osaka region. The Sales Report clearly identifies these specialized staff as a key differentiator from competitors relying on remote clearance operations.</w:t>
      </w:r>
    </w:p>
    <w:bookmarkEnd w:id="22"/>
    <w:bookmarkStart w:id="23" w:name="X5766bb6b14f549c373390d245e0bc4fceedfb15"/>
    <w:p>
      <w:pPr>
        <w:pStyle w:val="Heading2"/>
      </w:pPr>
      <w:r>
        <w:t xml:space="preserve">Q3 Sales Performance Metrics (Japan Osaka Focus)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Shipments Processed (Osaka)</w:t>
      </w:r>
    </w:p>
    <w:p>
      <w:pPr>
        <w:pStyle w:val="BodyText"/>
      </w:pPr>
      <w:r>
        <w:t xml:space="preserve">1,857</w:t>
      </w:r>
    </w:p>
    <w:p>
      <w:pPr>
        <w:pStyle w:val="BodyText"/>
      </w:pPr>
      <w:r>
        <w:t xml:space="preserve">1,612</w:t>
      </w:r>
    </w:p>
    <w:p>
      <w:pPr>
        <w:pStyle w:val="BodyText"/>
      </w:pPr>
      <w:r>
        <w:t xml:space="preserve">+15.2%</w:t>
      </w:r>
    </w:p>
    <w:p>
      <w:pPr>
        <w:pStyle w:val="BodyText"/>
      </w:pPr>
      <w:r>
        <w:t xml:space="preserve">New Client Acquisitions (Osaka-Based)</w:t>
      </w:r>
    </w:p>
    <w:p>
      <w:pPr>
        <w:pStyle w:val="BodyText"/>
      </w:pPr>
      <w:r>
        <w:t xml:space="preserve">47&lt;</w:t>
      </w:r>
    </w:p>
    <w:p>
      <w:pPr>
        <w:pStyle w:val="BodyText"/>
      </w:pPr>
      <w:r>
        <w:t xml:space="preserve">38+23.7%</w:t>
      </w:r>
    </w:p>
    <w:p>
      <w:pPr>
        <w:pStyle w:val="BodyText"/>
      </w:pPr>
      <w:r>
        <w:t xml:space="preserve">Average Revenue per Shipment (Osaka)</w:t>
      </w:r>
    </w:p>
    <w:p>
      <w:pPr>
        <w:pStyle w:val="BodyText"/>
      </w:pPr>
      <w:r>
        <w:t xml:space="preserve">¥12,500</w:t>
      </w:r>
    </w:p>
    <w:p>
      <w:pPr>
        <w:pStyle w:val="BodyText"/>
      </w:pPr>
      <w:r>
        <w:t xml:space="preserve">¥11,850</w:t>
      </w:r>
    </w:p>
    <w:p>
      <w:pPr>
        <w:pStyle w:val="BodyText"/>
      </w:pPr>
      <w:r>
        <w:t xml:space="preserve">+5.5%</w:t>
      </w:r>
    </w:p>
    <w:p>
      <w:pPr>
        <w:pStyle w:val="BodyText"/>
      </w:pPr>
      <w:r>
        <w:t xml:space="preserve">Client Retention Rate (Osaka)</w:t>
      </w:r>
    </w:p>
    <w:p>
      <w:pPr>
        <w:pStyle w:val="BodyText"/>
      </w:pPr>
      <w:r>
        <w:t xml:space="preserve">93.4%&lt; td</w:t>
      </w:r>
    </w:p>
    <w:p>
      <w:pPr>
        <w:pStyle w:val="BodyText"/>
      </w:pPr>
      <w:r>
        <w:t xml:space="preserve">89.1%</w:t>
      </w:r>
    </w:p>
    <w:bookmarkEnd w:id="23"/>
    <w:bookmarkStart w:id="24" w:name="demand-drivers-in-japan-osaka"/>
    <w:p>
      <w:pPr>
        <w:pStyle w:val="Heading2"/>
      </w:pPr>
      <w:r>
        <w:t xml:space="preserve">Demand Drivers in Japan Osaka</w:t>
      </w:r>
    </w:p>
    <w:p>
      <w:pPr>
        <w:pStyle w:val="FirstParagraph"/>
      </w:pPr>
      <w:r>
        <w:t xml:space="preserve">The Sales Report identifies three primary catalysts for the Q3 growth surge within Japan Osaka:</w:t>
      </w:r>
    </w:p>
    <w:p>
      <w:pPr>
        <w:numPr>
          <w:ilvl w:val="0"/>
          <w:numId w:val="1002"/>
        </w:numPr>
        <w:pStyle w:val="Compact"/>
      </w:pPr>
      <w:r>
        <w:rPr>
          <w:bCs/>
          <w:b/>
        </w:rPr>
        <w:t xml:space="preserve">Automotive Sector Expansion:</w:t>
      </w:r>
      <w:r>
        <w:t xml:space="preserve"> </w:t>
      </w:r>
      <w:r>
        <w:t xml:space="preserve">Major manufacturers like Toyota and Honda increased inbound component shipments to Osaka facilities by 18%, requiring specialized customs handling for sensitive automotive parts under Japan's "Simplified Customs Procedure" (SCP).</w:t>
      </w:r>
    </w:p>
    <w:p>
      <w:pPr>
        <w:numPr>
          <w:ilvl w:val="0"/>
          <w:numId w:val="1002"/>
        </w:numPr>
        <w:pStyle w:val="Compact"/>
      </w:pPr>
      <w:r>
        <w:rPr>
          <w:bCs/>
          <w:b/>
        </w:rPr>
        <w:t xml:space="preserve">E-commerce Logistics Boom:</w:t>
      </w:r>
      <w:r>
        <w:t xml:space="preserve"> </w:t>
      </w:r>
      <w:r>
        <w:t xml:space="preserve">Rising cross-border e-commerce from Asia-Pacific necessitated faster clearance, a service our Osaka Customs Officer team optimized through prior arrangement with Osaka Custom House.</w:t>
      </w:r>
    </w:p>
    <w:p>
      <w:pPr>
        <w:numPr>
          <w:ilvl w:val="0"/>
          <w:numId w:val="1002"/>
        </w:numPr>
        <w:pStyle w:val="Compact"/>
      </w:pPr>
      <w:r>
        <w:rPr>
          <w:bCs/>
          <w:b/>
        </w:rPr>
        <w:t xml:space="preserve">Tariff Optimization Demand:</w:t>
      </w:r>
      <w:r>
        <w:t xml:space="preserve"> </w:t>
      </w:r>
      <w:r>
        <w:t xml:space="preserve">Companies leveraging Japan's new Japan-EU Economic Partnership Agreement (JEEPA) sought expert guidance on preferential tariff classification – a core service delivered by our Osaka-based Customs Officers.</w:t>
      </w:r>
    </w:p>
    <w:bookmarkEnd w:id="24"/>
    <w:bookmarkStart w:id="25" w:name="strategic-recommendations-for-q4-2024"/>
    <w:p>
      <w:pPr>
        <w:pStyle w:val="Heading2"/>
      </w:pPr>
      <w:r>
        <w:t xml:space="preserve">Strategic Recommendations for Q4 2024</w:t>
      </w:r>
    </w:p>
    <w:p>
      <w:pPr>
        <w:pStyle w:val="FirstParagraph"/>
      </w:pPr>
      <w:r>
        <w:t xml:space="preserve">Based on the Q3 Sales Report findings, we recommend the following Japan Osaka-focused initiatives:</w:t>
      </w:r>
    </w:p>
    <w:p>
      <w:pPr>
        <w:numPr>
          <w:ilvl w:val="0"/>
          <w:numId w:val="1003"/>
        </w:numPr>
        <w:pStyle w:val="Compact"/>
      </w:pPr>
      <w:r>
        <w:rPr>
          <w:bCs/>
          <w:b/>
        </w:rPr>
        <w:t xml:space="preserve">Expand Customs Officer Capacity:</w:t>
      </w:r>
      <w:r>
        <w:t xml:space="preserve"> </w:t>
      </w:r>
      <w:r>
        <w:t xml:space="preserve">Hire two additional certified Customs Officers dedicated to Osaka's growing pharmaceutical and high-value electronics sectors. This addresses a 32% increase in client requests for specialized clearance.</w:t>
      </w:r>
    </w:p>
    <w:p>
      <w:pPr>
        <w:numPr>
          <w:ilvl w:val="0"/>
          <w:numId w:val="1003"/>
        </w:numPr>
        <w:pStyle w:val="Compact"/>
      </w:pPr>
      <w:r>
        <w:rPr>
          <w:bCs/>
          <w:b/>
        </w:rPr>
        <w:t xml:space="preserve">Implement Osaka-Specific Training:</w:t>
      </w:r>
      <w:r>
        <w:t xml:space="preserve"> </w:t>
      </w:r>
      <w:r>
        <w:t xml:space="preserve">Develop advanced modules on Japan's new "Single Window" system integration, focusing on Osaka Port data protocols, to further enhance Customs Officer efficiency.</w:t>
      </w:r>
    </w:p>
    <w:p>
      <w:pPr>
        <w:numPr>
          <w:ilvl w:val="0"/>
          <w:numId w:val="1003"/>
        </w:numPr>
        <w:pStyle w:val="Compact"/>
      </w:pPr>
      <w:r>
        <w:rPr>
          <w:bCs/>
          <w:b/>
        </w:rPr>
        <w:t xml:space="preserve">Forge Strategic Alliances:</w:t>
      </w:r>
      <w:r>
        <w:t xml:space="preserve"> </w:t>
      </w:r>
      <w:r>
        <w:t xml:space="preserve">Formalize partnership with the Osaka Chamber of Commerce &amp; Industry (OCCI) to co-host trade seminars on Japan customs compliance for new entrants to the Osaka market.</w:t>
      </w:r>
    </w:p>
    <w:bookmarkEnd w:id="25"/>
    <w:bookmarkStart w:id="26" w:name="X76fe99783e1a71a14962bf8cb21bb8766ac4d13"/>
    <w:p>
      <w:pPr>
        <w:pStyle w:val="Heading2"/>
      </w:pPr>
      <w:r>
        <w:t xml:space="preserve">Conclusion: The Essential Role of Localized Customs Expertise</w:t>
      </w:r>
    </w:p>
    <w:p>
      <w:pPr>
        <w:pStyle w:val="FirstParagraph"/>
      </w:pPr>
      <w:r>
        <w:t xml:space="preserve">This Sales Report unequivocally demonstrates that success in Japan Osaka's complex trade environment hinges on localized expertise. Our ability to deploy a highly skilled Customs Officer team – deeply embedded within the Japan Osaka business and regulatory landscape – is not merely an operational advantage; it is the fundamental engine driving our sales growth. As global supply chains continue to evolve, and Japan Osaka solidifies its position as a critical Asia-Pacific trade hub, this Sales Report confirms that investing in on-the-ground Customs Officer talent delivers measurable ROI through faster clearance, higher client retention, and sustainable market share gains within the Japan Osaka marketplace.</w:t>
      </w:r>
    </w:p>
    <w:p>
      <w:pPr>
        <w:pStyle w:val="BodyText"/>
      </w:pPr>
      <w:r>
        <w:rPr>
          <w:iCs/>
          <w:i/>
        </w:rPr>
        <w:t xml:space="preserve">Disclaimer: This report refers to customs brokerage services provided by Global Trade Solutions. It does not describe or imply any sales role for Japanese government Customs Officers (e.g., Ministry of Finance personnel), who operate under distinct public service mandates.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Osaka Customs Brokerage Sales Report - Q3 2024</dc:title>
  <dc:creator/>
  <dc:language>en</dc:language>
  <cp:keywords/>
  <dcterms:created xsi:type="dcterms:W3CDTF">2025-12-09T20:14:40Z</dcterms:created>
  <dcterms:modified xsi:type="dcterms:W3CDTF">2025-12-09T20:14:40Z</dcterms:modified>
</cp:coreProperties>
</file>

<file path=docProps/custom.xml><?xml version="1.0" encoding="utf-8"?>
<Properties xmlns="http://schemas.openxmlformats.org/officeDocument/2006/custom-properties" xmlns:vt="http://schemas.openxmlformats.org/officeDocument/2006/docPropsVTypes"/>
</file>