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p>
    <w:bookmarkStart w:id="26" w:name="X18b7115278e8794230bbdc3d7ccb265fc683f4c"/>
    <w:p>
      <w:pPr>
        <w:pStyle w:val="Heading1"/>
      </w:pPr>
      <w:r>
        <w:t xml:space="preserve">Customs Officer Sales Performance Report: Mexico City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Mexican Federal Customs Authority (SHCP)</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Mexico City's primary ports of entry during Q3 2023. As the economic heart of Mexico, Mexico City handles approximately 45% of the nation's international trade volume, making our Customs Officer operations critical to national revenue generation. This report demonstrates how strategic customs clearance processes directly contribute to duty collection (our "sales" metric) while maintaining stringent compliance standards. The collective efforts of our 278 certified Customs Officers at Mexico City International Airport and the Toluca Customs District have generated a record-breaking $342.7 million in tariff revenue – a 12.8% year-over-year increase – while reducing clearance times by 19% through digital transformation initiatives.</w:t>
      </w:r>
    </w:p>
    <w:bookmarkEnd w:id="20"/>
    <w:bookmarkStart w:id="21" w:name="X8d719bd59dd430789bc3d231a64890836100241"/>
    <w:p>
      <w:pPr>
        <w:pStyle w:val="Heading2"/>
      </w:pPr>
      <w:r>
        <w:t xml:space="preserve">II. Sales Performance Metrics: Mexico City Context</w:t>
      </w:r>
    </w:p>
    <w:p>
      <w:pPr>
        <w:pStyle w:val="FirstParagraph"/>
      </w:pPr>
      <w:r>
        <w:t xml:space="preserve">Mexico City serves as the central hub for all import/export transactions requiring customs validation before national distribution. Our "sales" are defined as legally collected duties, taxes, and fees from commercial declarations – not merchandise sales. In Q3 2023, Mexico City Customs Officers processed 187,450 cargo manifests with an average transaction value of $192,300 USD. This volume represents a 15.6% surge in activity compared to Q2, driven by the post-holiday import surge and increased automotive component shipments for local manufacturing plants.</w:t>
      </w:r>
    </w:p>
    <w:p>
      <w:pPr>
        <w:pStyle w:val="BodyText"/>
      </w:pPr>
      <w:r>
        <w:t xml:space="preserve">Key performance indicators directly tied to Customs Officer effectiveness include:</w:t>
      </w:r>
    </w:p>
    <w:p>
      <w:pPr>
        <w:numPr>
          <w:ilvl w:val="0"/>
          <w:numId w:val="1001"/>
        </w:numPr>
        <w:pStyle w:val="Compact"/>
      </w:pPr>
      <w:r>
        <w:rPr>
          <w:bCs/>
          <w:b/>
        </w:rPr>
        <w:t xml:space="preserve">Duty Collection Rate:</w:t>
      </w:r>
      <w:r>
        <w:t xml:space="preserve"> </w:t>
      </w:r>
      <w:r>
        <w:t xml:space="preserve">98.3% (vs. 96.1% in Q2) – reflecting improved declaration accuracy by officers</w:t>
      </w:r>
    </w:p>
    <w:p>
      <w:pPr>
        <w:numPr>
          <w:ilvl w:val="0"/>
          <w:numId w:val="1001"/>
        </w:numPr>
        <w:pStyle w:val="Compact"/>
      </w:pPr>
      <w:r>
        <w:rPr>
          <w:bCs/>
          <w:b/>
        </w:rPr>
        <w:t xml:space="preserve">Clearance Speed:</w:t>
      </w:r>
      <w:r>
        <w:t xml:space="preserve"> </w:t>
      </w:r>
      <w:r>
        <w:t xml:space="preserve">Average 7.2 hours (down from 8.9 hours last quarter)</w:t>
      </w:r>
    </w:p>
    <w:p>
      <w:pPr>
        <w:numPr>
          <w:ilvl w:val="0"/>
          <w:numId w:val="1001"/>
        </w:numPr>
        <w:pStyle w:val="Compact"/>
      </w:pPr>
      <w:r>
        <w:rPr>
          <w:bCs/>
          <w:b/>
        </w:rPr>
        <w:t xml:space="preserve">Non-Compliance Penalties:</w:t>
      </w:r>
      <w:r>
        <w:t xml:space="preserve"> </w:t>
      </w:r>
      <w:r>
        <w:t xml:space="preserve">$14.6 million generated (32% increase in enforcement actions)</w:t>
      </w:r>
    </w:p>
    <w:p>
      <w:pPr>
        <w:numPr>
          <w:ilvl w:val="0"/>
          <w:numId w:val="1001"/>
        </w:numPr>
        <w:pStyle w:val="Compact"/>
      </w:pPr>
      <w:r>
        <w:rPr>
          <w:bCs/>
          <w:b/>
        </w:rPr>
        <w:t xml:space="preserve">Digital System Adoption:</w:t>
      </w:r>
      <w:r>
        <w:t xml:space="preserve"> </w:t>
      </w:r>
      <w:r>
        <w:t xml:space="preserve">94% of officers now utilize the new "México Aduanero" platform</w:t>
      </w:r>
    </w:p>
    <w:bookmarkEnd w:id="21"/>
    <w:bookmarkStart w:id="22" w:name="X79f6b9bd1b2132076b3ba79366135aefd5241f0"/>
    <w:p>
      <w:pPr>
        <w:pStyle w:val="Heading2"/>
      </w:pPr>
      <w:r>
        <w:t xml:space="preserve">III. Customs Officer Impact Analysis: Mexico City Operations</w:t>
      </w:r>
    </w:p>
    <w:p>
      <w:pPr>
        <w:pStyle w:val="FirstParagraph"/>
      </w:pPr>
      <w:r>
        <w:t xml:space="preserve">The success of these sales metrics hinges entirely on the expertise of our Mexico City Customs Officers. These professionals undergo rigorous certification including:</w:t>
      </w:r>
    </w:p>
    <w:p>
      <w:pPr>
        <w:numPr>
          <w:ilvl w:val="0"/>
          <w:numId w:val="1002"/>
        </w:numPr>
        <w:pStyle w:val="Compact"/>
      </w:pPr>
      <w:r>
        <w:t xml:space="preserve">Specialized training in NAFTA/USMCA regulations (critical for 68% of Mexico City imports)</w:t>
      </w:r>
    </w:p>
    <w:p>
      <w:pPr>
        <w:numPr>
          <w:ilvl w:val="0"/>
          <w:numId w:val="1002"/>
        </w:numPr>
        <w:pStyle w:val="Compact"/>
      </w:pPr>
      <w:r>
        <w:t xml:space="preserve">Advanced fraud detection modules (preventing $12.4 million in potential revenue loss last quarter)</w:t>
      </w:r>
    </w:p>
    <w:p>
      <w:pPr>
        <w:numPr>
          <w:ilvl w:val="0"/>
          <w:numId w:val="1002"/>
        </w:numPr>
        <w:pStyle w:val="Compact"/>
      </w:pPr>
      <w:r>
        <w:t xml:space="preserve">Cultural competency for managing diverse global trade partners at the capital's busiest port</w:t>
      </w:r>
    </w:p>
    <w:p>
      <w:pPr>
        <w:pStyle w:val="FirstParagraph"/>
      </w:pPr>
      <w:r>
        <w:t xml:space="preserve">Specific examples of Customs Officer-driven sales performance include:</w:t>
      </w:r>
    </w:p>
    <w:p>
      <w:pPr>
        <w:numPr>
          <w:ilvl w:val="0"/>
          <w:numId w:val="1003"/>
        </w:numPr>
        <w:pStyle w:val="Compact"/>
      </w:pPr>
      <w:r>
        <w:rPr>
          <w:iCs/>
          <w:i/>
        </w:rPr>
        <w:t xml:space="preserve">Automotive Sector Recovery:</w:t>
      </w:r>
      <w:r>
        <w:t xml:space="preserve"> </w:t>
      </w:r>
      <w:r>
        <w:t xml:space="preserve">Officers identified undervalued engine components in 37 shipments from Germany, recouping $2.8 million in underpaid duties at Mexico City's main vehicle import zone.</w:t>
      </w:r>
    </w:p>
    <w:p>
      <w:pPr>
        <w:numPr>
          <w:ilvl w:val="0"/>
          <w:numId w:val="1003"/>
        </w:numPr>
        <w:pStyle w:val="Compact"/>
      </w:pPr>
      <w:r>
        <w:rPr>
          <w:iCs/>
          <w:i/>
        </w:rPr>
        <w:t xml:space="preserve">Fresh Produce Compliance:</w:t>
      </w:r>
      <w:r>
        <w:t xml:space="preserve"> </w:t>
      </w:r>
      <w:r>
        <w:t xml:space="preserve">By implementing new phytosanitary checks at Benito Juárez International Airport, Officers prevented illegal banana imports that would have cost the government $450,000 in lost revenue while protecting domestic producers.</w:t>
      </w:r>
    </w:p>
    <w:p>
      <w:pPr>
        <w:numPr>
          <w:ilvl w:val="0"/>
          <w:numId w:val="1003"/>
        </w:numPr>
        <w:pStyle w:val="Compact"/>
      </w:pPr>
      <w:r>
        <w:rPr>
          <w:iCs/>
          <w:i/>
        </w:rPr>
        <w:t xml:space="preserve">Digital Onboarding:</w:t>
      </w:r>
      <w:r>
        <w:t xml:space="preserve"> </w:t>
      </w:r>
      <w:r>
        <w:t xml:space="preserve">The 22 officers trained in AI-powered risk assessment tools reduced manual review time by 37%, enabling them to process an average of 18.5 declarations daily (vs. 14.3 previously).</w:t>
      </w:r>
    </w:p>
    <w:bookmarkEnd w:id="22"/>
    <w:bookmarkStart w:id="23" w:name="Xc79eae43ec31f929e2a509fa8d4fb9eb5f64000"/>
    <w:p>
      <w:pPr>
        <w:pStyle w:val="Heading2"/>
      </w:pPr>
      <w:r>
        <w:t xml:space="preserve">IV. Mexico City-Specific Challenges &amp; Solutions</w:t>
      </w:r>
    </w:p>
    <w:p>
      <w:pPr>
        <w:pStyle w:val="FirstParagraph"/>
      </w:pPr>
      <w:r>
        <w:t xml:space="preserve">Mexico City presents unique operational challenges that directly impact our revenue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Customs Officer Response</w:t>
            </w:r>
          </w:p>
        </w:tc>
        <w:tc>
          <w:tcPr/>
          <w:p>
            <w:pPr>
              <w:pStyle w:val="Compact"/>
              <w:jc w:val="left"/>
            </w:pPr>
            <w:r>
              <w:t xml:space="preserve">Revenue Impact</w:t>
            </w:r>
          </w:p>
        </w:tc>
      </w:tr>
      <w:tr>
        <w:tc>
          <w:tcPr/>
          <w:p>
            <w:pPr>
              <w:pStyle w:val="Compact"/>
              <w:jc w:val="left"/>
            </w:pPr>
            <w:r>
              <w:t xml:space="preserve">Traffic congestion delaying cargo arrivals at Mexico City's main port (30-45 min average)</w:t>
            </w:r>
          </w:p>
        </w:tc>
        <w:tc>
          <w:tcPr/>
          <w:p>
            <w:pPr>
              <w:pStyle w:val="Compact"/>
              <w:jc w:val="left"/>
            </w:pPr>
            <w:r>
              <w:t xml:space="preserve">Implemented "Priority Clearance" for time-sensitive medical imports and electronics; officers now coordinate with transport agencies pre-arrival</w:t>
            </w:r>
          </w:p>
        </w:tc>
        <w:tc>
          <w:tcPr/>
          <w:p>
            <w:pPr>
              <w:pStyle w:val="Compact"/>
              <w:jc w:val="left"/>
            </w:pPr>
            <w:r>
              <w:t xml:space="preserve">+$8.2M in avoided revenue loss from expired clearance windows</w:t>
            </w:r>
          </w:p>
        </w:tc>
      </w:tr>
      <w:tr>
        <w:tc>
          <w:tcPr/>
          <w:p>
            <w:pPr>
              <w:pStyle w:val="Compact"/>
              <w:jc w:val="left"/>
            </w:pPr>
            <w:r>
              <w:t xml:space="preserve">Complex tariff classification disputes for high-value tech goods (34% of declarations)</w:t>
            </w:r>
          </w:p>
        </w:tc>
        <w:tc>
          <w:tcPr/>
          <w:p>
            <w:pPr>
              <w:pStyle w:val="Compact"/>
              <w:jc w:val="left"/>
            </w:pPr>
            <w:r>
              <w:t xml:space="preserve">Deployed specialized "Tech Customs" sub-team of 15 officers with semiconductor expertise</w:t>
            </w:r>
          </w:p>
        </w:tc>
        <w:tc>
          <w:tcPr/>
          <w:p>
            <w:pPr>
              <w:pStyle w:val="Compact"/>
              <w:jc w:val="left"/>
            </w:pPr>
            <w:r>
              <w:t xml:space="preserve">Reduced classification errors by 63%, generating $5.7M in additional duty collection</w:t>
            </w:r>
          </w:p>
        </w:tc>
      </w:tr>
      <w:tr>
        <w:tc>
          <w:tcPr/>
          <w:p>
            <w:pPr>
              <w:pStyle w:val="Compact"/>
              <w:jc w:val="left"/>
            </w:pPr>
            <w:r>
              <w:t xml:space="preserve">Fraudulent invoice schemes targeting Mexico City's retail imports</w:t>
            </w:r>
          </w:p>
        </w:tc>
        <w:tc>
          <w:tcPr/>
          <w:p>
            <w:pPr>
              <w:pStyle w:val="Compact"/>
              <w:jc w:val="left"/>
            </w:pPr>
            <w:r>
              <w:t xml:space="preserve">Officers trained in blockchain invoice verification; cross-referenced with Mexican Importer Registry data</w:t>
            </w:r>
          </w:p>
        </w:tc>
        <w:tc>
          <w:tcPr/>
          <w:p>
            <w:pPr>
              <w:pStyle w:val="Compact"/>
              <w:jc w:val="left"/>
            </w:pPr>
            <w:r>
              <w:t xml:space="preserve">Exposed $3.1M in fraudulent transactions, preventing revenue leakage</w:t>
            </w:r>
          </w:p>
        </w:tc>
      </w:tr>
    </w:tbl>
    <w:bookmarkEnd w:id="23"/>
    <w:bookmarkStart w:id="24" w:name="Xf405ae91f8234dcf31ad0bf37a1cabcc51c519a"/>
    <w:p>
      <w:pPr>
        <w:pStyle w:val="Heading2"/>
      </w:pPr>
      <w:r>
        <w:t xml:space="preserve">V. Future Growth Strategy: Mexico City Focus</w:t>
      </w:r>
    </w:p>
    <w:p>
      <w:pPr>
        <w:pStyle w:val="FirstParagraph"/>
      </w:pPr>
      <w:r>
        <w:t xml:space="preserve">To sustain and grow our sales performance beyond Q3, Mexico City Customs Officers will implement these strategic initiatives:</w:t>
      </w:r>
    </w:p>
    <w:p>
      <w:pPr>
        <w:numPr>
          <w:ilvl w:val="0"/>
          <w:numId w:val="1004"/>
        </w:numPr>
        <w:pStyle w:val="Compact"/>
      </w:pPr>
      <w:r>
        <w:rPr>
          <w:bCs/>
          <w:b/>
        </w:rPr>
        <w:t xml:space="preserve">Smart Customs Zone Expansion:</w:t>
      </w:r>
      <w:r>
        <w:t xml:space="preserve"> </w:t>
      </w:r>
      <w:r>
        <w:t xml:space="preserve">Rolling out AI-powered customs hubs at 3 new locations across Mexico City by Q1 2024, targeting high-volume sectors (pharmaceuticals, e-commerce) where our officers can process up to 50% more declarations daily.</w:t>
      </w:r>
    </w:p>
    <w:p>
      <w:pPr>
        <w:numPr>
          <w:ilvl w:val="0"/>
          <w:numId w:val="1004"/>
        </w:numPr>
        <w:pStyle w:val="Compact"/>
      </w:pPr>
      <w:r>
        <w:rPr>
          <w:bCs/>
          <w:b/>
        </w:rPr>
        <w:t xml:space="preserve">Revenue Protection Task Force:</w:t>
      </w:r>
      <w:r>
        <w:t xml:space="preserve"> </w:t>
      </w:r>
      <w:r>
        <w:t xml:space="preserve">A dedicated team of Mexico City Customs Officers focused exclusively on high-risk trade corridors with the U.S. and EU, using predictive analytics to prevent revenue loss before shipments arrive.</w:t>
      </w:r>
    </w:p>
    <w:p>
      <w:pPr>
        <w:numPr>
          <w:ilvl w:val="0"/>
          <w:numId w:val="1004"/>
        </w:numPr>
        <w:pStyle w:val="Compact"/>
      </w:pPr>
      <w:r>
        <w:rPr>
          <w:bCs/>
          <w:b/>
        </w:rPr>
        <w:t xml:space="preserve">Mexico City Trade Ambassador Program:</w:t>
      </w:r>
      <w:r>
        <w:t xml:space="preserve"> </w:t>
      </w:r>
      <w:r>
        <w:t xml:space="preserve">Training 40 officers to serve as direct liaisons with major Mexico City exporters (e.g., Samsung Electronics, Ford plants), improving declaration accuracy rates by 25% and reducing compliance disputes.</w:t>
      </w:r>
    </w:p>
    <w:bookmarkEnd w:id="24"/>
    <w:bookmarkStart w:id="25" w:name="Xc31a68646f334095642ec96c80d7800000ac17b"/>
    <w:p>
      <w:pPr>
        <w:pStyle w:val="Heading2"/>
      </w:pPr>
      <w:r>
        <w:t xml:space="preserve">VI. Conclusion: Customs Officer Excellence in Mexico City</w:t>
      </w:r>
    </w:p>
    <w:p>
      <w:pPr>
        <w:pStyle w:val="FirstParagraph"/>
      </w:pPr>
      <w:r>
        <w:t xml:space="preserve">This report unequivocally demonstrates that Mexico City's Customs Officers are not merely regulatory gatekeepers but strategic revenue generators for the national economy. The $342.7 million in Q3 collections represents a direct result of officer expertise, technological adoption, and targeted enforcement – proving that "sales" in customs operations fundamentally depend on professional compliance management rather than commercial transactions.</w:t>
      </w:r>
    </w:p>
    <w:p>
      <w:pPr>
        <w:pStyle w:val="BodyText"/>
      </w:pPr>
      <w:r>
        <w:t xml:space="preserve">As Mexico City continues to expand as Latin America's premier trade destination (projected 18% import growth by 2025), our Customs Officer corps will remain the indispensable engine driving revenue performance. We recommend scaling the successful Mexico City pilot programs – particularly the digital risk assessment system and sector-specific officer training – to all major customs offices nationwide. The consistent $342 million quarterly revenue stream from Mexico City operations underscores why investing in highly trained Customs Officers remains our most effective sales strategy for maintaining Mexico's competitive trade position.</w:t>
      </w:r>
    </w:p>
    <w:p>
      <w:pPr>
        <w:pStyle w:val="BodyText"/>
      </w:pPr>
      <w:r>
        <w:rPr>
          <w:bCs/>
          <w:b/>
        </w:rPr>
        <w:t xml:space="preserve">Prepared By:</w:t>
      </w:r>
      <w:r>
        <w:t xml:space="preserve"> </w:t>
      </w:r>
      <w:r>
        <w:t xml:space="preserve">María Elena Contreras</w:t>
      </w:r>
      <w:r>
        <w:br/>
      </w:r>
      <w:r>
        <w:t xml:space="preserve">Director of Revenue Operations, Mexican Federal Customs Authority (SHCP)</w:t>
      </w:r>
      <w:r>
        <w:br/>
      </w:r>
      <w:r>
        <w:t xml:space="preserve">Mexico City,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Mexico City</dc:title>
  <dc:creator/>
  <cp:keywords/>
  <dcterms:created xsi:type="dcterms:W3CDTF">2026-07-23T19:23:38Z</dcterms:created>
  <dcterms:modified xsi:type="dcterms:W3CDTF">2026-07-23T19:23:38Z</dcterms:modified>
</cp:coreProperties>
</file>

<file path=docProps/custom.xml><?xml version="1.0" encoding="utf-8"?>
<Properties xmlns="http://schemas.openxmlformats.org/officeDocument/2006/custom-properties" xmlns:vt="http://schemas.openxmlformats.org/officeDocument/2006/docPropsVTypes"/>
</file>