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Revenue</w:t>
      </w:r>
      <w:r>
        <w:t xml:space="preserve"> </w:t>
      </w:r>
      <w:r>
        <w:t xml:space="preserve">Sales</w:t>
      </w:r>
      <w:r>
        <w:t xml:space="preserve"> </w:t>
      </w:r>
      <w:r>
        <w:t xml:space="preserve">Report</w:t>
      </w:r>
      <w:r>
        <w:t xml:space="preserve"> </w:t>
      </w:r>
      <w:r>
        <w:t xml:space="preserve">-</w:t>
      </w:r>
      <w:r>
        <w:t xml:space="preserve"> </w:t>
      </w:r>
      <w:r>
        <w:t xml:space="preserve">Yangon</w:t>
      </w:r>
      <w:r>
        <w:t xml:space="preserve"> </w:t>
      </w:r>
      <w:r>
        <w:t xml:space="preserve">Office</w:t>
      </w:r>
    </w:p>
    <w:bookmarkStart w:id="28" w:name="X8b4311cc192dc19d8b5a5755e68c9c31f730fb1"/>
    <w:p>
      <w:pPr>
        <w:pStyle w:val="Heading1"/>
      </w:pPr>
      <w:r>
        <w:t xml:space="preserve">OFFICIAL SALES REPORT: CUSTOMS REVENUE ANALYSIS FOR MYANMAR YANGON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of Customs and Excise, Yangon Regional Office</w:t>
      </w:r>
      <w:r>
        <w:br/>
      </w:r>
      <w:r>
        <w:rPr>
          <w:bCs/>
          <w:b/>
        </w:rPr>
        <w:t xml:space="preserve">Prepared By:</w:t>
      </w:r>
      <w:r>
        <w:t xml:space="preserve"> </w:t>
      </w:r>
      <w:r>
        <w:t xml:space="preserve">Senior Customs Officer (Revenue Analysis Department)</w:t>
      </w:r>
    </w:p>
    <w:bookmarkStart w:id="20" w:name="i.-executive-summary"/>
    <w:p>
      <w:pPr>
        <w:pStyle w:val="Heading2"/>
      </w:pPr>
      <w:r>
        <w:t xml:space="preserve">I. EXECUTIVE SUMMARY</w:t>
      </w:r>
    </w:p>
    <w:p>
      <w:pPr>
        <w:pStyle w:val="FirstParagraph"/>
      </w:pPr>
      <w:r>
        <w:t xml:space="preserve">This comprehensive Sales Report details the customs revenue performance of the Myanmar Yangon Customs Office for Q3 2023 (July-September). As a pivotal Customs Officer stationed in Yangon—the commercial hub of Myanmar—we have recorded a significant 18.7% year-on-year increase in duty collections, totaling MMK 45.8 billion (USD $34.5 million). This growth directly supports national revenue targets and demonstrates the operational efficiency of our customs infrastructure. The report underscores critical trends, challenges faced by the Customs Officer team in Yangon's complex trade environment, and strategic recommendations for sustainable revenue enhancement across Myanmar's primary gateway.</w:t>
      </w:r>
    </w:p>
    <w:bookmarkEnd w:id="20"/>
    <w:bookmarkStart w:id="21" w:name="ii.-revenue-performance-highlights"/>
    <w:p>
      <w:pPr>
        <w:pStyle w:val="Heading2"/>
      </w:pPr>
      <w:r>
        <w:t xml:space="preserve">II. REVENUE PERFORMANCE HIGHLIGHTS</w:t>
      </w:r>
    </w:p>
    <w:p>
      <w:pPr>
        <w:pStyle w:val="FirstParagraph"/>
      </w:pPr>
      <w:r>
        <w:t xml:space="preserve">The Sales Report confirms Yangon Customs Office processed 148,750 cargo declarations during Q3—a 12% surge from previous quarter—generating substantial revenue through:</w:t>
      </w:r>
    </w:p>
    <w:p>
      <w:pPr>
        <w:numPr>
          <w:ilvl w:val="0"/>
          <w:numId w:val="1001"/>
        </w:numPr>
        <w:pStyle w:val="Compact"/>
      </w:pPr>
      <w:r>
        <w:rPr>
          <w:bCs/>
          <w:b/>
        </w:rPr>
        <w:t xml:space="preserve">Duty Collections:</w:t>
      </w:r>
      <w:r>
        <w:t xml:space="preserve"> </w:t>
      </w:r>
      <w:r>
        <w:t xml:space="preserve">MMK 32.9 billion (71.8% of total revenue)</w:t>
      </w:r>
    </w:p>
    <w:p>
      <w:pPr>
        <w:numPr>
          <w:ilvl w:val="0"/>
          <w:numId w:val="1001"/>
        </w:numPr>
        <w:pStyle w:val="Compact"/>
      </w:pPr>
      <w:r>
        <w:rPr>
          <w:bCs/>
          <w:b/>
        </w:rPr>
        <w:t xml:space="preserve">Value-Added Tax (VAT):</w:t>
      </w:r>
      <w:r>
        <w:t xml:space="preserve"> </w:t>
      </w:r>
      <w:r>
        <w:t xml:space="preserve">MMK 7.6 billion (16.6%)</w:t>
      </w:r>
    </w:p>
    <w:p>
      <w:pPr>
        <w:numPr>
          <w:ilvl w:val="0"/>
          <w:numId w:val="1001"/>
        </w:numPr>
        <w:pStyle w:val="Compact"/>
      </w:pPr>
      <w:r>
        <w:rPr>
          <w:bCs/>
          <w:b/>
        </w:rPr>
        <w:t xml:space="preserve">Excise Duties:</w:t>
      </w:r>
      <w:r>
        <w:t xml:space="preserve"> </w:t>
      </w:r>
      <w:r>
        <w:t xml:space="preserve">MMK 3.2 billion (7.0%)</w:t>
      </w:r>
    </w:p>
    <w:bookmarkEnd w:id="21"/>
    <w:bookmarkStart w:id="22" w:name="iii.-key-drivers-of-revenue-growth"/>
    <w:p>
      <w:pPr>
        <w:pStyle w:val="Heading2"/>
      </w:pPr>
      <w:r>
        <w:t xml:space="preserve">III. KEY DRIVERS OF REVENUE GROWTH</w:t>
      </w:r>
    </w:p>
    <w:p>
      <w:pPr>
        <w:pStyle w:val="FirstParagraph"/>
      </w:pPr>
      <w:r>
        <w:t xml:space="preserve">Myanmar Yangon's strategic position as the nation's primary trade corridor (handling 78% of national imports/exports) amplified revenue growth through:</w:t>
      </w:r>
    </w:p>
    <w:p>
      <w:pPr>
        <w:numPr>
          <w:ilvl w:val="0"/>
          <w:numId w:val="1002"/>
        </w:numPr>
        <w:pStyle w:val="Compact"/>
      </w:pPr>
      <w:r>
        <w:rPr>
          <w:bCs/>
          <w:b/>
        </w:rPr>
        <w:t xml:space="preserve">Increased Agricultural Exports:</w:t>
      </w:r>
      <w:r>
        <w:t xml:space="preserve"> </w:t>
      </w:r>
      <w:r>
        <w:t xml:space="preserve">Record rice shipments (1.2M MT) generated MMK 8.4 billion in duties—up 32% YoY—driven by stronger global demand from Southeast Asian markets.</w:t>
      </w:r>
    </w:p>
    <w:p>
      <w:pPr>
        <w:numPr>
          <w:ilvl w:val="0"/>
          <w:numId w:val="1002"/>
        </w:numPr>
        <w:pStyle w:val="Compact"/>
      </w:pPr>
      <w:r>
        <w:rPr>
          <w:bCs/>
          <w:b/>
        </w:rPr>
        <w:t xml:space="preserve">Electronics Sector Boom:</w:t>
      </w:r>
      <w:r>
        <w:t xml:space="preserve"> </w:t>
      </w:r>
      <w:r>
        <w:t xml:space="preserve">Imports of mobile phones and components surged by 24%, contributing MMK 6.1 billion to revenue as Yangon-based manufacturers expanded production.</w:t>
      </w:r>
    </w:p>
    <w:p>
      <w:pPr>
        <w:numPr>
          <w:ilvl w:val="0"/>
          <w:numId w:val="1002"/>
        </w:numPr>
        <w:pStyle w:val="Compact"/>
      </w:pPr>
      <w:r>
        <w:rPr>
          <w:bCs/>
          <w:b/>
        </w:rPr>
        <w:t xml:space="preserve">Timber &amp; Construction Materials:</w:t>
      </w:r>
      <w:r>
        <w:t xml:space="preserve"> </w:t>
      </w:r>
      <w:r>
        <w:t xml:space="preserve">Post-flood recovery efforts in Myanmar drove a 19% rise in cement and lumber imports, yielding MMK 4.3 billion in duties.</w:t>
      </w:r>
    </w:p>
    <w:bookmarkEnd w:id="22"/>
    <w:bookmarkStart w:id="23" w:name="iv.-customs-officer-performance-metrics"/>
    <w:p>
      <w:pPr>
        <w:pStyle w:val="Heading2"/>
      </w:pPr>
      <w:r>
        <w:t xml:space="preserve">IV. CUSTOMS OFFICER PERFORMANCE METRICS</w:t>
      </w:r>
    </w:p>
    <w:p>
      <w:pPr>
        <w:pStyle w:val="FirstParagraph"/>
      </w:pPr>
      <w:r>
        <w:t xml:space="preserve">This Sales Report quantifies frontline Customs Officer efficiency across Yangon's operational zones: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 (YoY)</w:t>
            </w:r>
          </w:p>
        </w:tc>
      </w:tr>
      <w:tr>
        <w:tc>
          <w:tcPr/>
          <w:p>
            <w:pPr>
              <w:pStyle w:val="Compact"/>
              <w:jc w:val="left"/>
            </w:pPr>
            <w:r>
              <w:t xml:space="preserve">Average Declaration Processing Time (hrs)</w:t>
            </w:r>
          </w:p>
        </w:tc>
        <w:tc>
          <w:tcPr/>
          <w:p>
            <w:pPr>
              <w:pStyle w:val="Compact"/>
              <w:jc w:val="left"/>
            </w:pPr>
            <w:r>
              <w:t xml:space="preserve">8.7</w:t>
            </w:r>
          </w:p>
        </w:tc>
        <w:tc>
          <w:tcPr/>
          <w:p>
            <w:pPr>
              <w:pStyle w:val="Compact"/>
              <w:jc w:val="left"/>
            </w:pPr>
            <w:r>
              <w:t xml:space="preserve">9.4</w:t>
            </w:r>
          </w:p>
        </w:tc>
        <w:tc>
          <w:tcPr/>
          <w:p>
            <w:pPr>
              <w:pStyle w:val="Compact"/>
              <w:jc w:val="left"/>
            </w:pPr>
            <w:r>
              <w:t xml:space="preserve">-15.9%</w:t>
            </w:r>
          </w:p>
        </w:tc>
      </w:tr>
      <w:tr>
        <w:tc>
          <w:tcPr/>
          <w:p>
            <w:pPr>
              <w:pStyle w:val="Compact"/>
              <w:jc w:val="left"/>
            </w:pPr>
            <w:r>
              <w:t xml:space="preserve">Duty Collection Compliance Rate</w:t>
            </w:r>
          </w:p>
        </w:tc>
        <w:tc>
          <w:tcPr/>
          <w:p>
            <w:pPr>
              <w:pStyle w:val="Compact"/>
              <w:jc w:val="left"/>
            </w:pPr>
            <w:r>
              <w:t xml:space="preserve">93.2%</w:t>
            </w:r>
          </w:p>
        </w:tc>
        <w:tc>
          <w:tcPr>
            <w:gridSpan w:val="2"/>
          </w:tcPr>
          <w:p>
            <w:pPr>
              <w:pStyle w:val="Compact"/>
              <w:jc w:val="left"/>
            </w:pPr>
            <w:r>
              <w:t xml:space="preserve">+7.1% (vs Q3 2022)</w:t>
            </w:r>
          </w:p>
        </w:tc>
      </w:tr>
      <w:tr>
        <w:tc>
          <w:tcPr/>
          <w:p>
            <w:pPr>
              <w:pStyle w:val="Compact"/>
              <w:jc w:val="left"/>
            </w:pPr>
            <w:r>
              <w:t xml:space="preserve">High-Risk Cargo Inspections Conducted</w:t>
            </w:r>
          </w:p>
        </w:tc>
        <w:tc>
          <w:tcPr/>
          <w:p>
            <w:pPr>
              <w:pStyle w:val="Compact"/>
              <w:jc w:val="left"/>
            </w:pPr>
            <w:r>
              <w:t xml:space="preserve">1,845</w:t>
            </w:r>
          </w:p>
        </w:tc>
        <w:tc>
          <w:tcPr/>
          <w:p>
            <w:pPr>
              <w:pStyle w:val="Compact"/>
              <w:jc w:val="left"/>
            </w:pPr>
            <w:r>
              <w:t xml:space="preserve">1,560</w:t>
            </w:r>
          </w:p>
        </w:tc>
        <w:tc>
          <w:tcPr/>
          <w:p>
            <w:pPr>
              <w:pStyle w:val="Compact"/>
              <w:jc w:val="left"/>
            </w:pPr>
            <w:r>
              <w:t xml:space="preserve">+18.3%</w:t>
            </w:r>
          </w:p>
        </w:tc>
      </w:tr>
    </w:tbl>
    <w:bookmarkEnd w:id="23"/>
    <w:bookmarkStart w:id="24" w:name="v.-challenges-in-myanmar-yangon-context"/>
    <w:p>
      <w:pPr>
        <w:pStyle w:val="Heading2"/>
      </w:pPr>
      <w:r>
        <w:t xml:space="preserve">V. CHALLENGES IN MYANMAR YANGON CONTEXT</w:t>
      </w:r>
    </w:p>
    <w:p>
      <w:pPr>
        <w:pStyle w:val="FirstParagraph"/>
      </w:pPr>
      <w:r>
        <w:t xml:space="preserve">The Customs Officer team in Yangon faces unique operational pressures reflected in this Sales Report:</w:t>
      </w:r>
    </w:p>
    <w:p>
      <w:pPr>
        <w:numPr>
          <w:ilvl w:val="0"/>
          <w:numId w:val="1003"/>
        </w:numPr>
        <w:pStyle w:val="Compact"/>
      </w:pPr>
      <w:r>
        <w:rPr>
          <w:bCs/>
          <w:b/>
        </w:rPr>
        <w:t xml:space="preserve">Informal Trade Networks:</w:t>
      </w:r>
      <w:r>
        <w:t xml:space="preserve"> </w:t>
      </w:r>
      <w:r>
        <w:t xml:space="preserve">14% of declared cargo values were underreported at Yangon's informal markets (e.g., Botahtaung, Kyauktan), costing an estimated MMK 2.1 billion in lost revenue.</w:t>
      </w:r>
    </w:p>
    <w:p>
      <w:pPr>
        <w:numPr>
          <w:ilvl w:val="0"/>
          <w:numId w:val="1003"/>
        </w:numPr>
        <w:pStyle w:val="Compact"/>
      </w:pPr>
      <w:r>
        <w:rPr>
          <w:bCs/>
          <w:b/>
        </w:rPr>
        <w:t xml:space="preserve">Infrastructure Limitations:</w:t>
      </w:r>
      <w:r>
        <w:t xml:space="preserve"> </w:t>
      </w:r>
      <w:r>
        <w:t xml:space="preserve">Port congestion at Thilawa Special Economic Zone delayed 28% of containers, increasing cargo storage costs for traders and indirectly reducing duty payments.</w:t>
      </w:r>
    </w:p>
    <w:p>
      <w:pPr>
        <w:numPr>
          <w:ilvl w:val="0"/>
          <w:numId w:val="1003"/>
        </w:numPr>
        <w:pStyle w:val="Compact"/>
      </w:pPr>
      <w:r>
        <w:rPr>
          <w:bCs/>
          <w:b/>
        </w:rPr>
        <w:t xml:space="preserve">Digital Transition Barriers:</w:t>
      </w:r>
      <w:r>
        <w:t xml:space="preserve"> </w:t>
      </w:r>
      <w:r>
        <w:t xml:space="preserve">Only 62% of local importers used the new Myanmar Customs Single Window (MCSW) system—versus 89% in Singapore—slowing revenue recognition.</w:t>
      </w:r>
    </w:p>
    <w:p>
      <w:pPr>
        <w:pStyle w:val="BlockText"/>
      </w:pPr>
      <w:r>
        <w:t xml:space="preserve">"Addressing these challenges requires coordinated action between the Yangon Customs Office and private sector stakeholders to prevent revenue leakage. The Customs Officer must balance enforcement with trade facilitation in Myanmar's evolving economy."</w:t>
      </w:r>
    </w:p>
    <w:bookmarkEnd w:id="24"/>
    <w:bookmarkStart w:id="25" w:name="vi.-strategic-recommendations-for-yangon"/>
    <w:p>
      <w:pPr>
        <w:pStyle w:val="Heading2"/>
      </w:pPr>
      <w:r>
        <w:t xml:space="preserve">VI. STRATEGIC RECOMMENDATIONS FOR YANGON</w:t>
      </w:r>
    </w:p>
    <w:p>
      <w:pPr>
        <w:pStyle w:val="FirstParagraph"/>
      </w:pPr>
      <w:r>
        <w:t xml:space="preserve">To sustain revenue growth as Myanmar Yangon expands its role in ASEAN trade, this Sales Report proposes:</w:t>
      </w:r>
    </w:p>
    <w:p>
      <w:pPr>
        <w:numPr>
          <w:ilvl w:val="0"/>
          <w:numId w:val="1004"/>
        </w:numPr>
        <w:pStyle w:val="Compact"/>
      </w:pPr>
      <w:r>
        <w:rPr>
          <w:bCs/>
          <w:b/>
        </w:rPr>
        <w:t xml:space="preserve">Strengthen Risk Intelligence Units:</w:t>
      </w:r>
      <w:r>
        <w:t xml:space="preserve"> </w:t>
      </w:r>
      <w:r>
        <w:t xml:space="preserve">Allocate 30% of officer resources to AI-driven analytics for high-value commodities (e.g., precious metals), targeting a 25% reduction in under-declaration by Q1 2024.</w:t>
      </w:r>
    </w:p>
    <w:p>
      <w:pPr>
        <w:numPr>
          <w:ilvl w:val="0"/>
          <w:numId w:val="1004"/>
        </w:numPr>
        <w:pStyle w:val="Compact"/>
      </w:pPr>
      <w:r>
        <w:rPr>
          <w:bCs/>
          <w:b/>
        </w:rPr>
        <w:t xml:space="preserve">Port Modernization Partnerships:</w:t>
      </w:r>
      <w:r>
        <w:t xml:space="preserve"> </w:t>
      </w:r>
      <w:r>
        <w:t xml:space="preserve">Collaborate with Myanmar Ports Authority on Thilawa port automation to cut container dwell time below 48 hours, directly boosting duty collections through faster clearance.</w:t>
      </w:r>
    </w:p>
    <w:p>
      <w:pPr>
        <w:numPr>
          <w:ilvl w:val="0"/>
          <w:numId w:val="1004"/>
        </w:numPr>
        <w:pStyle w:val="Compact"/>
      </w:pPr>
      <w:r>
        <w:rPr>
          <w:bCs/>
          <w:b/>
        </w:rPr>
        <w:t xml:space="preserve">Digital Onboarding Program:</w:t>
      </w:r>
      <w:r>
        <w:t xml:space="preserve"> </w:t>
      </w:r>
      <w:r>
        <w:t xml:space="preserve">Mandatory MCSW training for all Yangon-based importers by Q2 2024, targeting 90% adoption to accelerate revenue capture and reduce manual errors.</w:t>
      </w:r>
    </w:p>
    <w:bookmarkEnd w:id="25"/>
    <w:bookmarkStart w:id="27" w:name="vii.-conclusion"/>
    <w:p>
      <w:pPr>
        <w:pStyle w:val="Heading2"/>
      </w:pPr>
      <w:r>
        <w:t xml:space="preserve">VII. CONCLUSION</w:t>
      </w:r>
    </w:p>
    <w:p>
      <w:pPr>
        <w:pStyle w:val="FirstParagraph"/>
      </w:pPr>
      <w:r>
        <w:t xml:space="preserve">This Sales Report affirms that the Myanmar Yangon Customs Office remains a critical engine for national revenue, with Q3 results demonstrating resilience despite regional economic headwinds. As the frontline Customs Officer in Southeast Asia's fastest-growing trade corridor, our team has proven that strategic oversight—not just enforcement—drives fiscal sustainability. Future success depends on transforming this Sales Report from an operational document into actionable policy: By optimizing Yangon's customs ecosystem, we secure not only immediate revenue but also position Myanmar as a competitive trade partner in the ASEAN region. All recommendations align with Myanmar's National Tax Reform Strategy 2023-2025, ensuring our Customs Officer mission directly serves national development goals.</w:t>
      </w:r>
    </w:p>
    <w:bookmarkStart w:id="26" w:name="attachments"/>
    <w:p>
      <w:pPr>
        <w:pStyle w:val="Heading3"/>
      </w:pPr>
      <w:r>
        <w:t xml:space="preserve">ATTACHMENTS</w:t>
      </w:r>
    </w:p>
    <w:p>
      <w:pPr>
        <w:numPr>
          <w:ilvl w:val="0"/>
          <w:numId w:val="1005"/>
        </w:numPr>
        <w:pStyle w:val="Compact"/>
      </w:pPr>
      <w:r>
        <w:t xml:space="preserve">Appendix A: Monthly Revenue Breakdown by Commodity (Yangon Port)</w:t>
      </w:r>
    </w:p>
    <w:p>
      <w:pPr>
        <w:numPr>
          <w:ilvl w:val="0"/>
          <w:numId w:val="1005"/>
        </w:numPr>
        <w:pStyle w:val="Compact"/>
      </w:pPr>
      <w:r>
        <w:t xml:space="preserve">Appendix B: Customs Officer Deployment Map - Yangon Region</w:t>
      </w:r>
    </w:p>
    <w:p>
      <w:pPr>
        <w:numPr>
          <w:ilvl w:val="0"/>
          <w:numId w:val="1005"/>
        </w:numPr>
        <w:pStyle w:val="Compact"/>
      </w:pPr>
      <w:r>
        <w:t xml:space="preserve">Appendix C: Comparative Analysis of ASEAN Customs Revenue Performance (2023 Q3)</w:t>
      </w:r>
    </w:p>
    <w:p>
      <w:pPr>
        <w:pStyle w:val="FirstParagraph"/>
      </w:pPr>
      <w:r>
        <w:rPr>
          <w:iCs/>
          <w:i/>
        </w:rPr>
        <w:t xml:space="preserve">This report is confidential and intended solely for internal use by Myanmar Directorate of Customs and Excise. Unauthorized distribution prohibited.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Revenue Sales Report - Yangon Office</dc:title>
  <dc:creator/>
  <dc:language>en</dc:language>
  <cp:keywords/>
  <dcterms:created xsi:type="dcterms:W3CDTF">2026-07-21T16:01:32Z</dcterms:created>
  <dcterms:modified xsi:type="dcterms:W3CDTF">2026-07-21T16:01:32Z</dcterms:modified>
</cp:coreProperties>
</file>

<file path=docProps/custom.xml><?xml version="1.0" encoding="utf-8"?>
<Properties xmlns="http://schemas.openxmlformats.org/officeDocument/2006/custom-properties" xmlns:vt="http://schemas.openxmlformats.org/officeDocument/2006/docPropsVTypes"/>
</file>