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Customs</w:t>
      </w:r>
      <w:r>
        <w:t xml:space="preserve"> </w:t>
      </w:r>
      <w:r>
        <w:t xml:space="preserve">Technology</w:t>
      </w:r>
      <w:r>
        <w:t xml:space="preserve"> </w:t>
      </w:r>
      <w:r>
        <w:t xml:space="preserve">Solutions</w:t>
      </w:r>
      <w:r>
        <w:t xml:space="preserve"> </w:t>
      </w:r>
      <w:r>
        <w:t xml:space="preserve">Sales</w:t>
      </w:r>
      <w:r>
        <w:t xml:space="preserve"> </w:t>
      </w:r>
      <w:r>
        <w:t xml:space="preserve">Report:</w:t>
      </w:r>
      <w:r>
        <w:t xml:space="preserve"> </w:t>
      </w:r>
      <w:r>
        <w:t xml:space="preserve">Tashkent</w:t>
      </w:r>
      <w:r>
        <w:t xml:space="preserve"> </w:t>
      </w:r>
      <w:r>
        <w:t xml:space="preserve">Operations</w:t>
      </w:r>
    </w:p>
    <w:bookmarkStart w:id="28" w:name="X9008f44f3625895ca84f5ffd7556cb05a182d50"/>
    <w:p>
      <w:pPr>
        <w:pStyle w:val="Heading1"/>
      </w:pPr>
      <w:r>
        <w:t xml:space="preserve">Sales Report: Advanced Customs Management Solutions Deployment in Tashkent, Uzbekistan</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Regional Sales Directorate, Central Asia</w:t>
      </w:r>
      <w:r>
        <w:br/>
      </w:r>
      <w:r>
        <w:rPr>
          <w:bCs/>
          <w:b/>
        </w:rPr>
        <w:t xml:space="preserve">Purpose:</w:t>
      </w:r>
      <w:r>
        <w:t xml:space="preserve"> </w:t>
      </w:r>
      <w:r>
        <w:t xml:space="preserve">Documentation of Technology Solution Deployment for Customs Authorities in Tashkent, Uzbekistan</w:t>
      </w:r>
    </w:p>
    <w:bookmarkStart w:id="20" w:name="i.-executive-summary"/>
    <w:p>
      <w:pPr>
        <w:pStyle w:val="Heading2"/>
      </w:pPr>
      <w:r>
        <w:t xml:space="preserve">I. Executive Summary</w:t>
      </w:r>
    </w:p>
    <w:p>
      <w:pPr>
        <w:pStyle w:val="FirstParagraph"/>
      </w:pPr>
      <w:r>
        <w:t xml:space="preserve">This report details the successful implementation of the "CustomsFlow Pro" digital clearance system across key facilities operated by Uzbekistan's State Customs Committee (SCC) in Tashkent. The sales initiative targeted Customs Officer workflow optimization, resulting in a 35% reduction in cargo processing time at Tashkent International Airport and Toshkent Port terminals. With Uzbekistan's trade volume growing at 12% annually (World Bank, 2023), the deployment directly supports national economic goals while enhancing operational efficiency for Customs Officers handling over 18 million containers annually through Tashkent hubs.</w:t>
      </w:r>
    </w:p>
    <w:bookmarkEnd w:id="20"/>
    <w:bookmarkStart w:id="21" w:name="ii.-market-context-strategic-importance"/>
    <w:p>
      <w:pPr>
        <w:pStyle w:val="Heading2"/>
      </w:pPr>
      <w:r>
        <w:t xml:space="preserve">II. Market Context &amp; Strategic Importance</w:t>
      </w:r>
    </w:p>
    <w:p>
      <w:pPr>
        <w:pStyle w:val="FirstParagraph"/>
      </w:pPr>
      <w:r>
        <w:t xml:space="preserve">Uzbekistan's strategic position as a Central Asian trade corridor necessitates modernized customs infrastructure. The government's "Digital Uzbekistan 2030" initiative prioritizes customs automation, making Tashkent the primary operational center for these reforms. As the nation's capital and largest economic hub, Tashkent handles 68% of Uzbekistan's international trade value (UN COMTRADE). This Sales Report specifically documents solutions delivered to Customs Officer teams operating within the Tashkent region, addressing critical pain points in manual documentation handling that previously caused average clearance delays of 48-72 hours per shipment.</w:t>
      </w:r>
    </w:p>
    <w:bookmarkEnd w:id="21"/>
    <w:bookmarkStart w:id="22" w:name="Xea7917349c57710cb6f6df93e21e9e1818cc302"/>
    <w:p>
      <w:pPr>
        <w:pStyle w:val="Heading2"/>
      </w:pPr>
      <w:r>
        <w:t xml:space="preserve">III. Key Product Solution: CustomsFlow Pro System</w:t>
      </w:r>
    </w:p>
    <w:p>
      <w:pPr>
        <w:pStyle w:val="FirstParagraph"/>
      </w:pPr>
      <w:r>
        <w:t xml:space="preserve">The tailored solution implemented comprises three core modules designed for Uzbekistan's operational environment:</w:t>
      </w:r>
    </w:p>
    <w:p>
      <w:pPr>
        <w:numPr>
          <w:ilvl w:val="0"/>
          <w:numId w:val="1001"/>
        </w:numPr>
        <w:pStyle w:val="Compact"/>
      </w:pPr>
      <w:r>
        <w:rPr>
          <w:bCs/>
          <w:b/>
        </w:rPr>
        <w:t xml:space="preserve">Unified Cargo Portal:</w:t>
      </w:r>
      <w:r>
        <w:t xml:space="preserve"> </w:t>
      </w:r>
      <w:r>
        <w:t xml:space="preserve">Cloud-based platform enabling Customs Officers to access real-time data from 17 partner agencies (including customs, health, and veterinary services) via a single interface.</w:t>
      </w:r>
    </w:p>
    <w:p>
      <w:pPr>
        <w:numPr>
          <w:ilvl w:val="0"/>
          <w:numId w:val="1001"/>
        </w:numPr>
        <w:pStyle w:val="Compact"/>
      </w:pPr>
      <w:r>
        <w:rPr>
          <w:bCs/>
          <w:b/>
        </w:rPr>
        <w:t xml:space="preserve">Audit Trail Module:</w:t>
      </w:r>
      <w:r>
        <w:t xml:space="preserve"> </w:t>
      </w:r>
      <w:r>
        <w:t xml:space="preserve">Automated compliance tracking meeting Uzbekistan's Customs Code Article 42 requirements for transaction transparency.</w:t>
      </w:r>
    </w:p>
    <w:p>
      <w:pPr>
        <w:numPr>
          <w:ilvl w:val="0"/>
          <w:numId w:val="1001"/>
        </w:numPr>
        <w:pStyle w:val="Compact"/>
      </w:pPr>
      <w:r>
        <w:rPr>
          <w:bCs/>
          <w:b/>
        </w:rPr>
        <w:t xml:space="preserve">Mobile Field App:</w:t>
      </w:r>
      <w:r>
        <w:t xml:space="preserve"> </w:t>
      </w:r>
      <w:r>
        <w:t xml:space="preserve">iPad-based solution allowing Customs Officers to inspect cargo at ports, warehouses, and checkpoints without returning to central offices.</w:t>
      </w:r>
    </w:p>
    <w:p>
      <w:pPr>
        <w:pStyle w:val="FirstParagraph"/>
      </w:pPr>
      <w:r>
        <w:t xml:space="preserve">The Tashkent deployment specifically integrated Uzbekistan's "Single Window" system (developed under the World Bank Trade Facilitation Project) with our platform, a critical requirement for all SCC operations in the capital city. Customization included Cyrillic interface support and integration with Uzbekistan's national customs database (Kontrol-1).</w:t>
      </w:r>
    </w:p>
    <w:bookmarkEnd w:id="22"/>
    <w:bookmarkStart w:id="23" w:name="X5b874d3a70b270e1db4f30c0b86972334077890"/>
    <w:p>
      <w:pPr>
        <w:pStyle w:val="Heading2"/>
      </w:pPr>
      <w:r>
        <w:t xml:space="preserve">IV. Sales Performance &amp; Implementation Timeline</w:t>
      </w:r>
    </w:p>
    <w:tbl>
      <w:tblPr>
        <w:tblStyle w:val="Table"/>
        <w:tblW w:type="auto" w:w="0"/>
        <w:tblLook w:firstRow="1" w:lastRow="0" w:firstColumn="0" w:lastColumn="0" w:noHBand="0" w:noVBand="0" w:val="0020"/>
      </w:tblPr>
      <w:tblGrid>
        <w:gridCol w:w="1980"/>
        <w:gridCol w:w="1980"/>
        <w:gridCol w:w="1980"/>
        <w:gridCol w:w="1980"/>
      </w:tblGrid>
      <w:tr>
        <w:trPr>
          <w:tblHeader w:val="true"/>
        </w:trPr>
        <w:tc>
          <w:tcPr/>
          <w:p>
            <w:pPr>
              <w:pStyle w:val="Compact"/>
              <w:jc w:val="left"/>
            </w:pPr>
            <w:r>
              <w:t xml:space="preserve">Phase</w:t>
            </w:r>
          </w:p>
        </w:tc>
        <w:tc>
          <w:tcPr/>
          <w:p>
            <w:pPr>
              <w:pStyle w:val="Compact"/>
              <w:jc w:val="left"/>
            </w:pPr>
            <w:r>
              <w:t xml:space="preserve">Timeline</w:t>
            </w:r>
          </w:p>
        </w:tc>
        <w:tc>
          <w:tcPr/>
          <w:p>
            <w:pPr>
              <w:pStyle w:val="Compact"/>
              <w:jc w:val="left"/>
            </w:pPr>
            <w:r>
              <w:t xml:space="preserve">Deliverable</w:t>
            </w:r>
          </w:p>
        </w:tc>
        <w:tc>
          <w:tcPr/>
          <w:p>
            <w:pPr>
              <w:pStyle w:val="Compact"/>
              <w:jc w:val="left"/>
            </w:pPr>
            <w:r>
              <w:t xml:space="preserve">Tashkent Focus Area</w:t>
            </w:r>
          </w:p>
        </w:tc>
      </w:tr>
      <w:tr>
        <w:tc>
          <w:tcPr/>
          <w:p>
            <w:pPr>
              <w:pStyle w:val="Compact"/>
              <w:jc w:val="left"/>
            </w:pPr>
            <w:r>
              <w:t xml:space="preserve">Solution Proposal &amp; Demo</w:t>
            </w:r>
          </w:p>
        </w:tc>
        <w:tc>
          <w:tcPr/>
          <w:p>
            <w:pPr>
              <w:pStyle w:val="Compact"/>
              <w:jc w:val="left"/>
            </w:pPr>
            <w:r>
              <w:t xml:space="preserve">March 2023</w:t>
            </w:r>
          </w:p>
        </w:tc>
        <w:tc>
          <w:tcPr/>
          <w:p>
            <w:pPr>
              <w:pStyle w:val="Compact"/>
              <w:jc w:val="left"/>
            </w:pPr>
            <w:r>
              <w:t xml:space="preserve">Customized presentation for SCC Tashkent Directorate</w:t>
            </w:r>
          </w:p>
        </w:tc>
        <w:tc>
          <w:tcPr/>
          <w:p>
            <w:pPr>
              <w:pStyle w:val="Compact"/>
              <w:jc w:val="left"/>
            </w:pPr>
            <w:r>
              <w:t xml:space="preserve">Focus on reducing clearance time for China-Uzbekistan trade corridor shipments (37% of Tashkent's imports)</w:t>
            </w:r>
          </w:p>
        </w:tc>
      </w:tr>
      <w:tr>
        <w:tc>
          <w:tcPr/>
          <w:p>
            <w:pPr>
              <w:pStyle w:val="Compact"/>
              <w:jc w:val="left"/>
            </w:pPr>
            <w:r>
              <w:t xml:space="preserve">Contract Finalization</w:t>
            </w:r>
          </w:p>
        </w:tc>
        <w:tc>
          <w:tcPr/>
          <w:p>
            <w:pPr>
              <w:pStyle w:val="Compact"/>
              <w:jc w:val="left"/>
            </w:pPr>
            <w:r>
              <w:t xml:space="preserve">April 2023</w:t>
            </w:r>
          </w:p>
        </w:tc>
        <w:tc>
          <w:tcPr/>
          <w:p>
            <w:pPr>
              <w:pStyle w:val="Compact"/>
              <w:jc w:val="left"/>
            </w:pPr>
            <w:r>
              <w:t xml:space="preserve">$1.85M agreement covering 14 terminals across Tashkent region</w:t>
            </w:r>
          </w:p>
        </w:tc>
        <w:tc>
          <w:tcPr/>
          <w:p>
            <w:pPr>
              <w:pStyle w:val="Compact"/>
              <w:jc w:val="left"/>
            </w:pPr>
            <w:r>
              <w:t xml:space="preserve">Includes mandatory training for all Customs Officers at Tashkent Central Customs Office (CCO)</w:t>
            </w:r>
          </w:p>
        </w:tc>
      </w:tr>
      <w:tr>
        <w:tc>
          <w:tcPr/>
          <w:p>
            <w:pPr>
              <w:pStyle w:val="Compact"/>
              <w:jc w:val="left"/>
            </w:pPr>
            <w:r>
              <w:t xml:space="preserve">Deployment &amp; Integration</w:t>
            </w:r>
          </w:p>
        </w:tc>
        <w:tc>
          <w:tcPr/>
          <w:p>
            <w:pPr>
              <w:pStyle w:val="Compact"/>
              <w:jc w:val="left"/>
            </w:pPr>
            <w:r>
              <w:t xml:space="preserve">May-July 2023</w:t>
            </w:r>
          </w:p>
        </w:tc>
        <w:tc>
          <w:tcPr/>
          <w:p>
            <w:pPr>
              <w:pStyle w:val="Compact"/>
              <w:jc w:val="left"/>
            </w:pPr>
            <w:r>
              <w:t xml:space="preserve">All systems live at Tashkent International Airport, Toshkent Port, and Chilonzor Customs Station</w:t>
            </w:r>
          </w:p>
        </w:tc>
        <w:tc>
          <w:tcPr/>
          <w:p>
            <w:pPr>
              <w:pStyle w:val="Compact"/>
              <w:jc w:val="left"/>
            </w:pPr>
            <w:r>
              <w:t xml:space="preserve">Seamless integration with Uzbekistan's existing customs management system (TAS-1)</w:t>
            </w:r>
          </w:p>
        </w:tc>
      </w:tr>
      <w:tr>
        <w:tc>
          <w:tcPr/>
          <w:p>
            <w:pPr>
              <w:pStyle w:val="Compact"/>
              <w:jc w:val="left"/>
            </w:pPr>
            <w:r>
              <w:t xml:space="preserve">Post-Implementation Support</w:t>
            </w:r>
          </w:p>
        </w:tc>
        <w:tc>
          <w:tcPr/>
          <w:p>
            <w:pPr>
              <w:pStyle w:val="Compact"/>
              <w:jc w:val="left"/>
            </w:pPr>
            <w:r>
              <w:t xml:space="preserve">August 2023-Present</w:t>
            </w:r>
          </w:p>
        </w:tc>
        <w:tc>
          <w:tcPr/>
          <w:p>
            <w:pPr>
              <w:pStyle w:val="Compact"/>
              <w:jc w:val="left"/>
            </w:pPr>
            <w:r>
              <w:t xml:space="preserve">Dedicated Tashkent-based technical team providing 24/7 support</w:t>
            </w:r>
          </w:p>
        </w:tc>
        <w:tc>
          <w:tcPr/>
          <w:p>
            <w:pPr>
              <w:pStyle w:val="Compact"/>
              <w:jc w:val="left"/>
            </w:pPr>
            <w:r>
              <w:t xml:space="preserve">Weekly feedback sessions with Customs Officer teams at SCC Tashkent headquarters</w:t>
            </w:r>
          </w:p>
        </w:tc>
      </w:tr>
    </w:tbl>
    <w:bookmarkEnd w:id="23"/>
    <w:bookmarkStart w:id="24" w:name="Xeb7f338b2817f939e6ceb5103690d0d643b472c"/>
    <w:p>
      <w:pPr>
        <w:pStyle w:val="Heading2"/>
      </w:pPr>
      <w:r>
        <w:t xml:space="preserve">V. Impact on Customs Officers &amp; Operations in Tashkent</w:t>
      </w:r>
    </w:p>
    <w:p>
      <w:pPr>
        <w:pStyle w:val="FirstParagraph"/>
      </w:pPr>
      <w:r>
        <w:t xml:space="preserve">The primary success metric for this Sales Report is the transformation of daily workflows for Uzbekistan's Customs Officers in Tashkent:</w:t>
      </w:r>
    </w:p>
    <w:p>
      <w:pPr>
        <w:numPr>
          <w:ilvl w:val="0"/>
          <w:numId w:val="1002"/>
        </w:numPr>
        <w:pStyle w:val="Compact"/>
      </w:pPr>
      <w:r>
        <w:rPr>
          <w:bCs/>
          <w:b/>
        </w:rPr>
        <w:t xml:space="preserve">Time Savings:</w:t>
      </w:r>
      <w:r>
        <w:t xml:space="preserve"> </w:t>
      </w:r>
      <w:r>
        <w:t xml:space="preserve">Average clearance time reduced from 58 hours (Q1 2023) to 37 hours (Q3 2023) – a 36% improvement directly benefiting Customs Officers' productivity.</w:t>
      </w:r>
    </w:p>
    <w:p>
      <w:pPr>
        <w:numPr>
          <w:ilvl w:val="0"/>
          <w:numId w:val="1002"/>
        </w:numPr>
        <w:pStyle w:val="Compact"/>
      </w:pPr>
      <w:r>
        <w:rPr>
          <w:bCs/>
          <w:b/>
        </w:rPr>
        <w:t xml:space="preserve">Compliance Enhancement:</w:t>
      </w:r>
      <w:r>
        <w:t xml:space="preserve"> </w:t>
      </w:r>
      <w:r>
        <w:t xml:space="preserve">Automated risk assessment tools decreased manual documentation errors by 64%, aligning with Uzbekistan's new customs compliance standards effective January 2023.</w:t>
      </w:r>
    </w:p>
    <w:p>
      <w:pPr>
        <w:numPr>
          <w:ilvl w:val="0"/>
          <w:numId w:val="1002"/>
        </w:numPr>
        <w:pStyle w:val="Compact"/>
      </w:pPr>
      <w:r>
        <w:rPr>
          <w:bCs/>
          <w:b/>
        </w:rPr>
        <w:t xml:space="preserve">Officer Satisfaction:</w:t>
      </w:r>
      <w:r>
        <w:t xml:space="preserve"> </w:t>
      </w:r>
      <w:r>
        <w:t xml:space="preserve">Post-deployment survey (91% response rate) showed 89% of Tashkent-based Customs Officers rated the system "highly effective" compared to previous solutions.</w:t>
      </w:r>
    </w:p>
    <w:p>
      <w:pPr>
        <w:numPr>
          <w:ilvl w:val="0"/>
          <w:numId w:val="1002"/>
        </w:numPr>
        <w:pStyle w:val="Compact"/>
      </w:pPr>
      <w:r>
        <w:rPr>
          <w:bCs/>
          <w:b/>
        </w:rPr>
        <w:t xml:space="preserve">Trade Volume Impact:</w:t>
      </w:r>
      <w:r>
        <w:t xml:space="preserve"> </w:t>
      </w:r>
      <w:r>
        <w:t xml:space="preserve">Tashkent's customs facilities processed 2.3 million additional containers in Q3 2023 versus same period in 2022, with Customs Officers reporting fewer bottlenecks during peak season.</w:t>
      </w:r>
    </w:p>
    <w:bookmarkEnd w:id="24"/>
    <w:bookmarkStart w:id="25" w:name="X1383511d0cdf5874b4d20262bc4b36c3a644c04"/>
    <w:p>
      <w:pPr>
        <w:pStyle w:val="Heading2"/>
      </w:pPr>
      <w:r>
        <w:t xml:space="preserve">VI. Strategic Alignment with Uzbekistan National Goals</w:t>
      </w:r>
    </w:p>
    <w:p>
      <w:pPr>
        <w:pStyle w:val="FirstParagraph"/>
      </w:pPr>
      <w:r>
        <w:t xml:space="preserve">This Sales Report demonstrates how our technology directly supports key Uzbekistan government priorities:</w:t>
      </w:r>
    </w:p>
    <w:p>
      <w:pPr>
        <w:numPr>
          <w:ilvl w:val="0"/>
          <w:numId w:val="1003"/>
        </w:numPr>
        <w:pStyle w:val="Compact"/>
      </w:pPr>
      <w:r>
        <w:rPr>
          <w:bCs/>
          <w:b/>
        </w:rPr>
        <w:t xml:space="preserve">Trade Facilitation:</w:t>
      </w:r>
      <w:r>
        <w:t xml:space="preserve"> </w:t>
      </w:r>
      <w:r>
        <w:t xml:space="preserve">Meets the "National Strategy for Development of Foreign Trade 2030" target of reducing trade clearance time by 50% through Tashkent.</w:t>
      </w:r>
    </w:p>
    <w:p>
      <w:pPr>
        <w:numPr>
          <w:ilvl w:val="0"/>
          <w:numId w:val="1003"/>
        </w:numPr>
        <w:pStyle w:val="Compact"/>
      </w:pPr>
      <w:r>
        <w:rPr>
          <w:bCs/>
          <w:b/>
        </w:rPr>
        <w:t xml:space="preserve">Digital Transformation:</w:t>
      </w:r>
      <w:r>
        <w:t xml:space="preserve"> </w:t>
      </w:r>
      <w:r>
        <w:t xml:space="preserve">Aligns with "Digital Uzbekistan" initiative's goal to digitize all customs procedures by 2026, with Tashkent serving as the model implementation region.</w:t>
      </w:r>
    </w:p>
    <w:p>
      <w:pPr>
        <w:numPr>
          <w:ilvl w:val="0"/>
          <w:numId w:val="1003"/>
        </w:numPr>
        <w:pStyle w:val="Compact"/>
      </w:pPr>
      <w:r>
        <w:rPr>
          <w:bCs/>
          <w:b/>
        </w:rPr>
        <w:t xml:space="preserve">Revenue Growth:</w:t>
      </w:r>
      <w:r>
        <w:t xml:space="preserve"> </w:t>
      </w:r>
      <w:r>
        <w:t xml:space="preserve">Accelerated clearance processes increased customs revenue collection by $8.7M in Q3 2023 (Tashkent only), supporting Uzbekistan's fiscal objectives.</w:t>
      </w:r>
    </w:p>
    <w:bookmarkEnd w:id="25"/>
    <w:bookmarkStart w:id="26" w:name="vii.-future-opportunities-in-tashkent"/>
    <w:p>
      <w:pPr>
        <w:pStyle w:val="Heading2"/>
      </w:pPr>
      <w:r>
        <w:t xml:space="preserve">VII. Future Opportunities in Tashkent</w:t>
      </w:r>
    </w:p>
    <w:p>
      <w:pPr>
        <w:pStyle w:val="FirstParagraph"/>
      </w:pPr>
      <w:r>
        <w:t xml:space="preserve">Based on successful Tashkent deployment, we've secured two additional sales opportunities:</w:t>
      </w:r>
    </w:p>
    <w:p>
      <w:pPr>
        <w:numPr>
          <w:ilvl w:val="0"/>
          <w:numId w:val="1004"/>
        </w:numPr>
        <w:pStyle w:val="Compact"/>
      </w:pPr>
      <w:r>
        <w:rPr>
          <w:bCs/>
          <w:b/>
        </w:rPr>
        <w:t xml:space="preserve">Regional Expansion:</w:t>
      </w:r>
      <w:r>
        <w:t xml:space="preserve"> </w:t>
      </w:r>
      <w:r>
        <w:t xml:space="preserve">Proposal for 8 new terminals across Uzbekistan's secondary hubs (Samarkand, Andijan) leveraging Tashkent's operational model.</w:t>
      </w:r>
    </w:p>
    <w:p>
      <w:pPr>
        <w:numPr>
          <w:ilvl w:val="0"/>
          <w:numId w:val="1004"/>
        </w:numPr>
        <w:pStyle w:val="Compact"/>
      </w:pPr>
      <w:r>
        <w:rPr>
          <w:bCs/>
          <w:b/>
        </w:rPr>
        <w:t xml:space="preserve">Advanced Analytics Module:</w:t>
      </w:r>
      <w:r>
        <w:t xml:space="preserve"> </w:t>
      </w:r>
      <w:r>
        <w:t xml:space="preserve">New AI-powered risk assessment tool scheduled for Tashkent pilot in Q1 2024, designed specifically for Customs Officers analyzing high-risk shipments from China and Kazakhstan.</w:t>
      </w:r>
    </w:p>
    <w:bookmarkEnd w:id="26"/>
    <w:bookmarkStart w:id="27" w:name="viii.-conclusion"/>
    <w:p>
      <w:pPr>
        <w:pStyle w:val="Heading2"/>
      </w:pPr>
      <w:r>
        <w:t xml:space="preserve">VIII. Conclusion</w:t>
      </w:r>
    </w:p>
    <w:p>
      <w:pPr>
        <w:pStyle w:val="FirstParagraph"/>
      </w:pPr>
      <w:r>
        <w:t xml:space="preserve">This Sales Report confirms the strategic value of deploying advanced customs technology solutions to Uzbekistan's Customs Officer teams in Tashkent. The successful implementation has positioned our company as a critical partner in Uzbekistan's customs modernization journey while delivering quantifiable operational benefits. The 35% faster clearance times achieved at Tashkent facilities directly support national economic goals and demonstrate how targeted technology sales can transform public sector operations. We anticipate this success will accelerate further adoption across Uzbekistan's entire customs network, with Tashkent serving as the benchmark for future implementations nationwide.</w:t>
      </w:r>
    </w:p>
    <w:p>
      <w:pPr>
        <w:pStyle w:val="BodyText"/>
      </w:pPr>
      <w:r>
        <w:rPr>
          <w:iCs/>
          <w:i/>
        </w:rPr>
        <w:t xml:space="preserve">Prepared by: Regional Sales Management, Central Asia</w:t>
      </w:r>
      <w:r>
        <w:br/>
      </w:r>
      <w:r>
        <w:rPr>
          <w:iCs/>
          <w:i/>
        </w:rPr>
        <w:t xml:space="preserve">Verification: Certified by SCC Tashkent Operations Director (Reference #SCC-TR-2023-789)</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Customs Technology Solutions Sales Report: Tashkent Operations</dc:title>
  <dc:creator/>
  <dc:language>en</dc:language>
  <cp:keywords/>
  <dcterms:created xsi:type="dcterms:W3CDTF">2026-07-24T12:33:40Z</dcterms:created>
  <dcterms:modified xsi:type="dcterms:W3CDTF">2026-07-24T12:33:40Z</dcterms:modified>
</cp:coreProperties>
</file>

<file path=docProps/custom.xml><?xml version="1.0" encoding="utf-8"?>
<Properties xmlns="http://schemas.openxmlformats.org/officeDocument/2006/custom-properties" xmlns:vt="http://schemas.openxmlformats.org/officeDocument/2006/docPropsVTypes"/>
</file>