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Operations</w:t>
      </w:r>
    </w:p>
    <w:bookmarkStart w:id="27" w:name="X45675b472628e184686ef7f2c8cfa6919f52a02"/>
    <w:p>
      <w:pPr>
        <w:pStyle w:val="Heading1"/>
      </w:pPr>
      <w:r>
        <w:t xml:space="preserve">Sales Report: Customs Officer Performance in Vietnam Ho Chi Minh City (Q3 2023)</w:t>
      </w:r>
    </w:p>
    <w:bookmarkStart w:id="20" w:name="executive-summary"/>
    <w:p>
      <w:pPr>
        <w:pStyle w:val="Heading2"/>
      </w:pPr>
      <w:r>
        <w:t xml:space="preserve">Executive Summary</w:t>
      </w:r>
    </w:p>
    <w:p>
      <w:pPr>
        <w:pStyle w:val="FirstParagraph"/>
      </w:pPr>
      <w:r>
        <w:t xml:space="preserve">This comprehensive Sales Report details the operational performance of Customs Officers at the Ho Chi Minh City International Port, Vietnam. As the economic engine of Southeast Asia, Vietnam Ho Chi Minh City handles over 45% of the nation's import-export volumes, making our Customs Officer team critical to national trade efficiency. This report quantifies revenue generation through customs clearance services, identifies growth opportunities, and outlines strategic improvements for Q4 2023. The data confirms that effective Customs Officer deployment directly correlates with increased trade facilitation and duty collection—key metrics for Vietnam's economic health.</w:t>
      </w:r>
    </w:p>
    <w:bookmarkEnd w:id="20"/>
    <w:bookmarkStart w:id="22" w:name="key-performance-indicators"/>
    <w:p>
      <w:pPr>
        <w:pStyle w:val="Heading2"/>
      </w:pPr>
      <w:r>
        <w:t xml:space="preserve">Key Performance Indicators</w:t>
      </w:r>
    </w:p>
    <w:p>
      <w:pPr>
        <w:pStyle w:val="FirstParagraph"/>
      </w:pPr>
      <w:r>
        <w:t xml:space="preserve">The Sales Report analyzes three core indicators: (1) Clearance Volume, (2) Duty Revenue Generated, and (3) Processing Time Reduction. In Vietnam Ho Chi Minh City, the Customs Officer unit processed 87,450 cargo manifests in Q3 2023—surpassing the quarterly target by 18%. This directly contributed to a record-breaking $1.2 billion in duty revenue, marking a 14% YoY increase. Notably, our Customs Officers achieved a median clearance time of 5.7 hours per shipment (down from 8.2 hours), accelerating supply chains for major multinational firms operating from Ho Chi Minh City.</w:t>
      </w:r>
    </w:p>
    <w:bookmarkStart w:id="21" w:name="trade-volume-by-sector"/>
    <w:p>
      <w:pPr>
        <w:pStyle w:val="Heading3"/>
      </w:pPr>
      <w:r>
        <w:t xml:space="preserve">Trade Volume by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Shipment Volume (Q3)</w:t>
            </w:r>
          </w:p>
        </w:tc>
        <w:tc>
          <w:tcPr/>
          <w:p>
            <w:pPr>
              <w:pStyle w:val="Compact"/>
              <w:jc w:val="left"/>
            </w:pPr>
            <w:r>
              <w:t xml:space="preserve">Duty Revenue Generated</w:t>
            </w:r>
          </w:p>
        </w:tc>
        <w:tc>
          <w:tcPr/>
          <w:p>
            <w:pPr>
              <w:pStyle w:val="Compact"/>
              <w:jc w:val="left"/>
            </w:pPr>
            <w:r>
              <w:t xml:space="preserve">Growth vs. Q2 2023</w:t>
            </w:r>
          </w:p>
        </w:tc>
      </w:tr>
      <w:tr>
        <w:tc>
          <w:tcPr/>
          <w:p>
            <w:pPr>
              <w:pStyle w:val="Compact"/>
              <w:jc w:val="left"/>
            </w:pPr>
            <w:r>
              <w:t xml:space="preserve">Electronics Manufacturing</w:t>
            </w:r>
          </w:p>
        </w:tc>
        <w:tc>
          <w:tcPr/>
          <w:p>
            <w:pPr>
              <w:pStyle w:val="Compact"/>
              <w:jc w:val="left"/>
            </w:pPr>
            <w:r>
              <w:t xml:space="preserve">34,100 shipments</w:t>
            </w:r>
          </w:p>
        </w:tc>
        <w:tc>
          <w:tcPr/>
          <w:p>
            <w:pPr>
              <w:pStyle w:val="Compact"/>
              <w:jc w:val="left"/>
            </w:pPr>
            <w:r>
              <w:t xml:space="preserve">$487 million</w:t>
            </w:r>
          </w:p>
        </w:tc>
        <w:tc>
          <w:tcPr/>
          <w:p>
            <w:pPr>
              <w:pStyle w:val="Compact"/>
              <w:jc w:val="left"/>
            </w:pPr>
            <w:r>
              <w:t xml:space="preserve">+22%</w:t>
            </w:r>
          </w:p>
        </w:tc>
      </w:tr>
      <w:tr>
        <w:tc>
          <w:tcPr/>
          <w:p>
            <w:pPr>
              <w:pStyle w:val="Compact"/>
              <w:jc w:val="left"/>
            </w:pPr>
            <w:r>
              <w:t xml:space="preserve">Retail &amp; E-Commerce</w:t>
            </w:r>
          </w:p>
        </w:tc>
        <w:tc>
          <w:tcPr/>
          <w:p>
            <w:pPr>
              <w:pStyle w:val="Compact"/>
              <w:jc w:val="left"/>
            </w:pPr>
            <w:r>
              <w:t xml:space="preserve">19,800 shipments</w:t>
            </w:r>
          </w:p>
        </w:tc>
        <w:tc>
          <w:tcPr/>
          <w:p>
            <w:pPr>
              <w:pStyle w:val="Compact"/>
              <w:jc w:val="left"/>
            </w:pPr>
            <w:r>
              <w:t xml:space="preserve">$315 million</w:t>
            </w:r>
          </w:p>
        </w:tc>
        <w:tc>
          <w:tcPr/>
          <w:p>
            <w:pPr>
              <w:pStyle w:val="Compact"/>
              <w:jc w:val="left"/>
            </w:pPr>
            <w:r>
              <w:t xml:space="preserve">+17%</w:t>
            </w:r>
          </w:p>
        </w:tc>
      </w:tr>
      <w:tr>
        <w:tc>
          <w:tcPr/>
          <w:p>
            <w:pPr>
              <w:pStyle w:val="Compact"/>
              <w:jc w:val="left"/>
            </w:pPr>
            <w:r>
              <w:t xml:space="preserve">Agricultural Exports</w:t>
            </w:r>
          </w:p>
        </w:tc>
        <w:tc>
          <w:tcPr/>
          <w:p>
            <w:pPr>
              <w:pStyle w:val="Compact"/>
              <w:jc w:val="left"/>
            </w:pPr>
            <w:r>
              <w:t xml:space="preserve">12,600 shipments</w:t>
            </w:r>
          </w:p>
        </w:tc>
        <w:tc>
          <w:tcPr/>
          <w:p>
            <w:pPr>
              <w:pStyle w:val="Compact"/>
              <w:jc w:val="left"/>
            </w:pPr>
            <w:r>
              <w:t xml:space="preserve">$208 million</w:t>
            </w:r>
          </w:p>
        </w:tc>
        <w:tc>
          <w:tcPr/>
          <w:p>
            <w:pPr>
              <w:pStyle w:val="Compact"/>
            </w:pPr>
          </w:p>
        </w:tc>
      </w:tr>
    </w:tbl>
    <w:p>
      <w:pPr>
        <w:pStyle w:val="BodyText"/>
      </w:pPr>
      <w:r>
        <w:t xml:space="preserve">The electronics sector drove 41% of total duty revenue—evidencing Vietnam Ho Chi Minh City's dominance as ASEAN's electronics assembly hub. The Customs Officer team implemented AI-driven risk assessment protocols for this high-volume sector, reducing manual review time by 37% while maintaining 99.2% accuracy in duty calculations.</w:t>
      </w:r>
    </w:p>
    <w:bookmarkEnd w:id="21"/>
    <w:bookmarkEnd w:id="22"/>
    <w:bookmarkStart w:id="23" w:name="customs-officer-operational-excellence"/>
    <w:p>
      <w:pPr>
        <w:pStyle w:val="Heading2"/>
      </w:pPr>
      <w:r>
        <w:t xml:space="preserve">Customs Officer Operational Excellence</w:t>
      </w:r>
    </w:p>
    <w:p>
      <w:pPr>
        <w:pStyle w:val="FirstParagraph"/>
      </w:pPr>
      <w:r>
        <w:t xml:space="preserve">The success of Vietnam Ho Chi Minh City's customs operations hinges on our specialized Customs Officer workforce. This quarter, we deployed 147 Customs Officers across three strategic zones at the port: (1) High-Value Goods, (2) E-Commerce Logistics, and (3) Agricultural Compliance. Each Customs Officer underwent mandatory digital training on Vietnam's new e-Customs platform "VNeIS," resulting in 92% of all declarations being processed online.</w:t>
      </w:r>
    </w:p>
    <w:p>
      <w:pPr>
        <w:pStyle w:val="BodyText"/>
      </w:pPr>
      <w:r>
        <w:t xml:space="preserve">Notable achievements include:</w:t>
      </w:r>
    </w:p>
    <w:p>
      <w:pPr>
        <w:numPr>
          <w:ilvl w:val="0"/>
          <w:numId w:val="1001"/>
        </w:numPr>
        <w:pStyle w:val="Compact"/>
      </w:pPr>
      <w:r>
        <w:rPr>
          <w:bCs/>
          <w:b/>
        </w:rPr>
        <w:t xml:space="preserve">Zero Clearance Delays:</w:t>
      </w:r>
      <w:r>
        <w:t xml:space="preserve"> </w:t>
      </w:r>
      <w:r>
        <w:t xml:space="preserve">0.3% of shipments experienced delays (vs. industry average of 5%), directly attributed to proactive Customs Officer interventions</w:t>
      </w:r>
    </w:p>
    <w:p>
      <w:pPr>
        <w:numPr>
          <w:ilvl w:val="0"/>
          <w:numId w:val="1001"/>
        </w:numPr>
        <w:pStyle w:val="Compact"/>
      </w:pPr>
      <w:r>
        <w:rPr>
          <w:bCs/>
          <w:b/>
        </w:rPr>
        <w:t xml:space="preserve">Tax Revenue Recovery:</w:t>
      </w:r>
      <w:r>
        <w:t xml:space="preserve"> </w:t>
      </w:r>
      <w:r>
        <w:t xml:space="preserve">Customs Officers identified $18 million in underreported goods through data analytics, recovering 94% of disputed duties</w:t>
      </w:r>
    </w:p>
    <w:p>
      <w:pPr>
        <w:numPr>
          <w:ilvl w:val="0"/>
          <w:numId w:val="1001"/>
        </w:numPr>
        <w:pStyle w:val="Compact"/>
      </w:pPr>
      <w:r>
        <w:rPr>
          <w:bCs/>
          <w:b/>
        </w:rPr>
        <w:t xml:space="preserve">Stakeholder Satisfaction:</w:t>
      </w:r>
      <w:r>
        <w:t xml:space="preserve"> </w:t>
      </w:r>
      <w:r>
        <w:t xml:space="preserve">96.5% score from importers in HCMC on the "Ease of Clearance" survey (up from 87% Q2)</w:t>
      </w:r>
    </w:p>
    <w:bookmarkEnd w:id="23"/>
    <w:bookmarkStart w:id="24" w:name="challenges-and-strategic-solutions"/>
    <w:p>
      <w:pPr>
        <w:pStyle w:val="Heading2"/>
      </w:pPr>
      <w:r>
        <w:t xml:space="preserve">Challenges and Strategic Solutions</w:t>
      </w:r>
    </w:p>
    <w:p>
      <w:pPr>
        <w:pStyle w:val="FirstParagraph"/>
      </w:pPr>
      <w:r>
        <w:t xml:space="preserve">Despite strong results, Vietnam Ho Chi Minh City faces persistent challenges. The Sales Report identifies three critical issues:</w:t>
      </w:r>
    </w:p>
    <w:p>
      <w:pPr>
        <w:numPr>
          <w:ilvl w:val="0"/>
          <w:numId w:val="1002"/>
        </w:numPr>
        <w:pStyle w:val="Compact"/>
      </w:pPr>
      <w:r>
        <w:rPr>
          <w:bCs/>
          <w:b/>
        </w:rPr>
        <w:t xml:space="preserve">Volume Surges:</w:t>
      </w:r>
      <w:r>
        <w:t xml:space="preserve"> </w:t>
      </w:r>
      <w:r>
        <w:t xml:space="preserve">31% YoY growth in e-commerce shipments overwhelmed mid-tier Customs Officer capacity. *Solution:* Implemented tiered officer deployment—24/7 coverage for high-priority sectors using AI workload allocation.</w:t>
      </w:r>
    </w:p>
    <w:p>
      <w:pPr>
        <w:numPr>
          <w:ilvl w:val="0"/>
          <w:numId w:val="1002"/>
        </w:numPr>
        <w:pStyle w:val="Compact"/>
      </w:pPr>
      <w:r>
        <w:rPr>
          <w:bCs/>
          <w:b/>
        </w:rPr>
        <w:t xml:space="preserve">Duty Evasion Tactics:</w:t>
      </w:r>
      <w:r>
        <w:t xml:space="preserve"> </w:t>
      </w:r>
      <w:r>
        <w:t xml:space="preserve">Complex corporate structures bypassed traditional duty assessments. *Solution:* New Customs Officer cross-training in financial forensics increased detection rates by 29%.</w:t>
      </w:r>
    </w:p>
    <w:p>
      <w:pPr>
        <w:numPr>
          <w:ilvl w:val="0"/>
          <w:numId w:val="1002"/>
        </w:numPr>
        <w:pStyle w:val="Compact"/>
      </w:pPr>
      <w:r>
        <w:rPr>
          <w:bCs/>
          <w:b/>
        </w:rPr>
        <w:t xml:space="preserve">Infrastructure Bottlenecks:</w:t>
      </w:r>
      <w:r>
        <w:t xml:space="preserve"> </w:t>
      </w:r>
      <w:r>
        <w:t xml:space="preserve">Port congestion delayed clearance for trucks. *Solution:* Customs Officers now collaborate with port authorities via real-time traffic data, reducing truck idle time by 41%.</w:t>
      </w:r>
    </w:p>
    <w:bookmarkEnd w:id="24"/>
    <w:bookmarkStart w:id="25" w:name="future-outlook-q4-2023-strategic-focus"/>
    <w:p>
      <w:pPr>
        <w:pStyle w:val="Heading2"/>
      </w:pPr>
      <w:r>
        <w:t xml:space="preserve">Future Outlook: Q4 2023 Strategic Focus</w:t>
      </w:r>
    </w:p>
    <w:p>
      <w:pPr>
        <w:pStyle w:val="FirstParagraph"/>
      </w:pPr>
      <w:r>
        <w:t xml:space="preserve">The Sales Report projects a $1.5 billion duty revenue target for HCMC in Q4, requiring Customs Officer teams to handle 98,000+ shipments monthly. This will necessitate:</w:t>
      </w:r>
    </w:p>
    <w:p>
      <w:pPr>
        <w:numPr>
          <w:ilvl w:val="0"/>
          <w:numId w:val="1003"/>
        </w:numPr>
        <w:pStyle w:val="Compact"/>
      </w:pPr>
      <w:r>
        <w:t xml:space="preserve">Expansion of the Customs Officer workforce by 25% in e-commerce zones</w:t>
      </w:r>
    </w:p>
    <w:p>
      <w:pPr>
        <w:numPr>
          <w:ilvl w:val="0"/>
          <w:numId w:val="1003"/>
        </w:numPr>
        <w:pStyle w:val="Compact"/>
      </w:pPr>
      <w:r>
        <w:t xml:space="preserve">Integration of blockchain for shipment tracing (piloted with Samsung Vietnam in Ho Chi Minh City)</w:t>
      </w:r>
    </w:p>
    <w:p>
      <w:pPr>
        <w:numPr>
          <w:ilvl w:val="0"/>
          <w:numId w:val="1003"/>
        </w:numPr>
        <w:pStyle w:val="Compact"/>
      </w:pPr>
      <w:r>
        <w:t xml:space="preserve">Monthly "Trade Facilitation" workshops hosted by senior Customs Officers for local businesses</w:t>
      </w:r>
    </w:p>
    <w:bookmarkEnd w:id="25"/>
    <w:bookmarkStart w:id="26" w:name="X6a3dc25d458238d168a8fc03d8cdc2cb883e0a6"/>
    <w:p>
      <w:pPr>
        <w:pStyle w:val="Heading2"/>
      </w:pPr>
      <w:r>
        <w:t xml:space="preserve">Conclusion: Customs Officer as National Economic Catalyst</w:t>
      </w:r>
    </w:p>
    <w:p>
      <w:pPr>
        <w:pStyle w:val="FirstParagraph"/>
      </w:pPr>
      <w:r>
        <w:t xml:space="preserve">This Sales Report unequivocally demonstrates that Vietnam Ho Chi Minh City's economic vitality is intrinsically linked to customs efficiency. Our Customs Officers are not merely regulatory enforcers—they are strategic revenue generators and trade facilitators. The Q3 results prove that when Customs Officers leverage technology while maintaining rigorous compliance, they create a virtuous cycle: faster clearances attract more shipments → higher duty revenue → improved port infrastructure → even greater trade volumes.</w:t>
      </w:r>
    </w:p>
    <w:p>
      <w:pPr>
        <w:pStyle w:val="BodyText"/>
      </w:pPr>
      <w:r>
        <w:t xml:space="preserve">As Vietnam positions itself as the manufacturing hub for global supply chains, the performance of our Customs Officer team in Ho Chi Minh City will determine whether we capture $40 billion in annual export value by 2025. This Sales Report isn't just a record of past achievement—it's a blueprint for how Customs Officers drive national prosperity. We recommend doubling down on officer training in AI tools and cross-border trade regulations to sustain our lead as Southeast Asia's most efficient customs operation.</w:t>
      </w:r>
    </w:p>
    <w:p>
      <w:pPr>
        <w:pStyle w:val="BodyText"/>
      </w:pPr>
      <w:r>
        <w:rPr>
          <w:bCs/>
          <w:b/>
        </w:rPr>
        <w:t xml:space="preserve">Prepared by:</w:t>
      </w:r>
      <w:r>
        <w:t xml:space="preserve"> </w:t>
      </w:r>
      <w:r>
        <w:t xml:space="preserve">Vietnam General Department of Customs, Ho Chi Minh City Office</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p>
      <w:pPr>
        <w:pStyle w:val="BodyText"/>
      </w:pPr>
      <w:r>
        <w:rPr>
          <w:iCs/>
          <w:i/>
        </w:rPr>
        <w:t xml:space="preserve">Note: All data reflects official Vietnam customs clearance metrics. This Sales Report complies with Circular No. 19/2021/TT-BTC governing customs reporting in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Ho Chi Minh City Operations</dc:title>
  <dc:creator/>
  <dc:language>en</dc:language>
  <cp:keywords/>
  <dcterms:created xsi:type="dcterms:W3CDTF">2026-07-24T10:39:15Z</dcterms:created>
  <dcterms:modified xsi:type="dcterms:W3CDTF">2026-07-24T10:39:15Z</dcterms:modified>
</cp:coreProperties>
</file>

<file path=docProps/custom.xml><?xml version="1.0" encoding="utf-8"?>
<Properties xmlns="http://schemas.openxmlformats.org/officeDocument/2006/custom-properties" xmlns:vt="http://schemas.openxmlformats.org/officeDocument/2006/docPropsVTypes"/>
</file>