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Germany</w:t>
      </w:r>
      <w:r>
        <w:t xml:space="preserve"> </w:t>
      </w:r>
      <w:r>
        <w:t xml:space="preserve">Frankfurt</w:t>
      </w:r>
    </w:p>
    <w:bookmarkStart w:id="26" w:name="Xa18f59b9d0f31b312b00b3cd00712bedc2dc38f"/>
    <w:p>
      <w:pPr>
        <w:pStyle w:val="Heading1"/>
      </w:pPr>
      <w:r>
        <w:t xml:space="preserve">Annual Sales Performance Report: Strategic Data Scientist Recruitment in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Deutsche Bank &amp; DAX Client Partnerships Division</w:t>
      </w:r>
      <w:r>
        <w:br/>
      </w:r>
      <w:r>
        <w:rPr>
          <w:bCs/>
          <w:b/>
        </w:rPr>
        <w:t xml:space="preserve">Report Scope:</w:t>
      </w:r>
      <w:r>
        <w:t xml:space="preserve"> </w:t>
      </w:r>
      <w:r>
        <w:t xml:space="preserve">Data Scientist Talent Acquisition &amp; Sales Performance Analysis (Frankfurt Metropolitan Area)</w:t>
      </w:r>
    </w:p>
    <w:bookmarkStart w:id="20" w:name="Xe36c4bef229264cce973c0755cef9aee556141d"/>
    <w:p>
      <w:pPr>
        <w:pStyle w:val="Heading2"/>
      </w:pPr>
      <w:r>
        <w:t xml:space="preserve">I. Executive Summary: The Frankfurt Data Science Imperative</w:t>
      </w:r>
    </w:p>
    <w:p>
      <w:pPr>
        <w:pStyle w:val="FirstParagraph"/>
      </w:pPr>
      <w:r>
        <w:t xml:space="preserve">This Sales Report details the critical success of our specialized Data Scientist recruitment division within Germany's premier financial hub, Frankfurt am Main. As Europe's leading banking and fintech ecosystem, Frankfurt demands exceptional data science capabilities to navigate complex regulatory environments (GDPR, MiFID II), real-time risk modeling, and AI-driven customer personalization. Our sales team has achieved a</w:t>
      </w:r>
      <w:r>
        <w:t xml:space="preserve"> </w:t>
      </w:r>
      <w:r>
        <w:rPr>
          <w:bCs/>
          <w:b/>
        </w:rPr>
        <w:t xml:space="preserve">127% year-over-year growth</w:t>
      </w:r>
      <w:r>
        <w:t xml:space="preserve"> </w:t>
      </w:r>
      <w:r>
        <w:t xml:space="preserve">in Data Scientist placements within Frankfurt-based firms since Q1 2023, directly contributing to €8.4M in retained revenue. This success underscores the non-negotiable value of specialized Data Scientists for competitive advantage in Germany's most strategic business location.</w:t>
      </w:r>
    </w:p>
    <w:bookmarkEnd w:id="20"/>
    <w:bookmarkStart w:id="21" w:name="X65a341567a913166b356e19b83cd1e121faf164"/>
    <w:p>
      <w:pPr>
        <w:pStyle w:val="Heading2"/>
      </w:pPr>
      <w:r>
        <w:t xml:space="preserve">II. Market Analysis: Why Data Scientists Are the Engine of Frankfurt's Digital Transformation</w:t>
      </w:r>
    </w:p>
    <w:p>
      <w:pPr>
        <w:pStyle w:val="FirstParagraph"/>
      </w:pPr>
      <w:r>
        <w:t xml:space="preserve">Frankfurt is not merely a location—it is the nerve center of European finance, home to Deutsche Börse, DZ Bank, and over 50 major financial institutions. Our analysis reveals that</w:t>
      </w:r>
      <w:r>
        <w:t xml:space="preserve"> </w:t>
      </w:r>
      <w:r>
        <w:rPr>
          <w:bCs/>
          <w:b/>
        </w:rPr>
        <w:t xml:space="preserve">78% of DAX companies</w:t>
      </w:r>
      <w:r>
        <w:t xml:space="preserve"> </w:t>
      </w:r>
      <w:r>
        <w:t xml:space="preserve">now prioritize AI/ML capabilities as core strategic pillars. However, a severe talent deficit persists: Frankfurt faces a</w:t>
      </w:r>
      <w:r>
        <w:t xml:space="preserve"> </w:t>
      </w:r>
      <w:r>
        <w:rPr>
          <w:bCs/>
          <w:b/>
        </w:rPr>
        <w:t xml:space="preserve">32% vacancy rate for Data Scientist roles</w:t>
      </w:r>
      <w:r>
        <w:t xml:space="preserve"> </w:t>
      </w:r>
      <w:r>
        <w:t xml:space="preserve">(Source: German Federal Employment Agency, 2023). This gap represents both a risk and an opportunity. Our Sales Report demonstrates how targeting the right Data Scientist profile directly impacts Frankfurt clients' bottom lines:</w:t>
      </w:r>
    </w:p>
    <w:p>
      <w:pPr>
        <w:numPr>
          <w:ilvl w:val="0"/>
          <w:numId w:val="1001"/>
        </w:numPr>
        <w:pStyle w:val="Compact"/>
      </w:pPr>
      <w:r>
        <w:rPr>
          <w:bCs/>
          <w:b/>
        </w:rPr>
        <w:t xml:space="preserve">Risk Mitigation:</w:t>
      </w:r>
      <w:r>
        <w:t xml:space="preserve"> </w:t>
      </w:r>
      <w:r>
        <w:t xml:space="preserve">GDPR-compliant data pipelines built by our placed Data Scientists reduced regulatory fines by 41% for Commerzbank (2023 Q3 report).</w:t>
      </w:r>
    </w:p>
    <w:p>
      <w:pPr>
        <w:numPr>
          <w:ilvl w:val="0"/>
          <w:numId w:val="1001"/>
        </w:numPr>
        <w:pStyle w:val="Compact"/>
      </w:pPr>
      <w:r>
        <w:rPr>
          <w:bCs/>
          <w:b/>
        </w:rPr>
        <w:t xml:space="preserve">Revenue Generation:</w:t>
      </w:r>
      <w:r>
        <w:t xml:space="preserve"> </w:t>
      </w:r>
      <w:r>
        <w:t xml:space="preserve">AI-driven fraud detection models deployed at DZ Bank (implemented via our Frankfurt Data Science team) generated €18.7M in annual savings.</w:t>
      </w:r>
    </w:p>
    <w:p>
      <w:pPr>
        <w:numPr>
          <w:ilvl w:val="0"/>
          <w:numId w:val="1001"/>
        </w:numPr>
        <w:pStyle w:val="Compact"/>
      </w:pPr>
      <w:r>
        <w:rPr>
          <w:bCs/>
          <w:b/>
        </w:rPr>
        <w:t xml:space="preserve">Innovation Velocity:</w:t>
      </w:r>
      <w:r>
        <w:t xml:space="preserve"> </w:t>
      </w:r>
      <w:r>
        <w:t xml:space="preserve">Clients reporting high Data Scientist density achieved 3x faster time-to-market for new digital products.</w:t>
      </w:r>
    </w:p>
    <w:bookmarkEnd w:id="21"/>
    <w:bookmarkStart w:id="22" w:name="X4f6951b0992dfde513f67301c2f0a908826168a"/>
    <w:p>
      <w:pPr>
        <w:pStyle w:val="Heading2"/>
      </w:pPr>
      <w:r>
        <w:t xml:space="preserve">III. Sales Performance Breakdown: Frankfurt-Specific Metrics</w:t>
      </w:r>
    </w:p>
    <w:p>
      <w:pPr>
        <w:pStyle w:val="FirstParagraph"/>
      </w:pPr>
      <w:r>
        <w:t xml:space="preserve">Quarter</w:t>
      </w:r>
    </w:p>
    <w:p>
      <w:pPr>
        <w:pStyle w:val="BodyText"/>
      </w:pPr>
      <w:r>
        <w:t xml:space="preserve">Data Scientist Placements (Frankfurt)</w:t>
      </w:r>
    </w:p>
    <w:p>
      <w:pPr>
        <w:pStyle w:val="BodyText"/>
      </w:pPr>
      <w:r>
        <w:t xml:space="preserve">Client Revenue Impact (€)</w:t>
      </w:r>
    </w:p>
    <w:p>
      <w:pPr>
        <w:pStyle w:val="BodyText"/>
      </w:pPr>
      <w:r>
        <w:t xml:space="preserve">Key Industry Focus</w:t>
      </w:r>
    </w:p>
    <w:p>
      <w:pPr>
        <w:pStyle w:val="BodyText"/>
      </w:pPr>
      <w:r>
        <w:t xml:space="preserve">H1 2023</w:t>
      </w:r>
    </w:p>
    <w:p>
      <w:pPr>
        <w:pStyle w:val="BodyText"/>
      </w:pPr>
      <w:r>
        <w:t xml:space="preserve">47</w:t>
      </w:r>
    </w:p>
    <w:p>
      <w:pPr>
        <w:pStyle w:val="BodyText"/>
      </w:pPr>
      <w:r>
        <w:t xml:space="preserve">€2.1M</w:t>
      </w:r>
    </w:p>
    <w:p>
      <w:pPr>
        <w:pStyle w:val="BodyText"/>
      </w:pPr>
      <w:r>
        <w:t xml:space="preserve">Banking, Insurance, Fintech</w:t>
      </w:r>
    </w:p>
    <w:p>
      <w:pPr>
        <w:pStyle w:val="BodyText"/>
      </w:pPr>
      <w:r>
        <w:t xml:space="preserve">H2 2023 (Projected)</w:t>
      </w:r>
    </w:p>
    <w:p>
      <w:pPr>
        <w:pStyle w:val="BodyText"/>
      </w:pPr>
      <w:r>
        <w:t xml:space="preserve">68+</w:t>
      </w:r>
    </w:p>
    <w:p>
      <w:pPr>
        <w:pStyle w:val="BodyText"/>
      </w:pPr>
      <w:r>
        <w:t xml:space="preserve">Data Scientist Demand by Frankfurt Industry (Q3 2023)</w:t>
      </w:r>
    </w:p>
    <w:p>
      <w:pPr>
        <w:pStyle w:val="BodyText"/>
      </w:pPr>
      <w:r>
        <w:t xml:space="preserve">Investment Banking</w:t>
      </w:r>
    </w:p>
    <w:p>
      <w:pPr>
        <w:pStyle w:val="BodyText"/>
      </w:pPr>
      <w:r>
        <w:t xml:space="preserve">34%</w:t>
      </w:r>
    </w:p>
    <w:p>
      <w:pPr>
        <w:pStyle w:val="BodyText"/>
      </w:pPr>
      <w:r>
        <w:t xml:space="preserve">Private Equity &amp; Asset Management</w:t>
      </w:r>
    </w:p>
    <w:p>
      <w:pPr>
        <w:pStyle w:val="BodyText"/>
      </w:pPr>
      <w:r>
        <w:t xml:space="preserve">28%</w:t>
      </w:r>
    </w:p>
    <w:p>
      <w:pPr>
        <w:pStyle w:val="BodyText"/>
      </w:pPr>
      <w:r>
        <w:t xml:space="preserve">Fintech Startups (Frankfurt Ecosystem)</w:t>
      </w:r>
    </w:p>
    <w:p>
      <w:pPr>
        <w:pStyle w:val="BodyText"/>
      </w:pPr>
      <w:r>
        <w:t xml:space="preserve">Sales Strategy: Targeting Frankfurt's Unique Value Proposition</w:t>
      </w:r>
    </w:p>
    <w:p>
      <w:pPr>
        <w:pStyle w:val="BodyText"/>
      </w:pPr>
      <w:r>
        <w:t xml:space="preserve">Regulatory Alignment: Emphasized Data Scientist expertise in GDPR, AML compliance, and EU AI Act—critical for Frankfurt's banking clients. 92% of closed deals cited this as decisive.</w:t>
      </w:r>
    </w:p>
    <w:p>
      <w:pPr>
        <w:pStyle w:val="BodyText"/>
      </w:pPr>
      <w:r>
        <w:t xml:space="preserve">Local Talent Sourcing: Partnered with Goethe University Frankfurt and Fraunhofer Institute to build a dedicated pipeline. Result: 37% faster time-to-hire vs. national average.</w:t>
      </w:r>
    </w:p>
    <w:p>
      <w:pPr>
        <w:pStyle w:val="BodyText"/>
      </w:pPr>
      <w:r>
        <w:t xml:space="preserve">Pricing Premium Justification: Framed Data Scientist value as ROI, not cost (e.g., "€250K investment → €1.8M annual value"). Frankfurt clients accepted 22% higher rates than German average due to clear financial impact.</w:t>
      </w:r>
    </w:p>
    <w:p>
      <w:pPr>
        <w:pStyle w:val="BodyText"/>
      </w:pPr>
      <w:r>
        <w:t xml:space="preserve">Post-Hire Value Tracking: Implemented a KPI dashboard for clients showing real-time metrics (e.g., "Model Accuracy Improvement," "Process Automation Savings"). This reduced churn by 63%.</w:t>
      </w:r>
    </w:p>
    <w:bookmarkEnd w:id="22"/>
    <w:bookmarkStart w:id="23" w:name="X644337d4b5c128018e34527e135e02022815260"/>
    <w:p>
      <w:pPr>
        <w:pStyle w:val="Heading2"/>
      </w:pPr>
      <w:r>
        <w:t xml:space="preserve">V. Competitive Landscape: Why Our Data Scientist Sales Approach Wins in Frankfurt</w:t>
      </w:r>
    </w:p>
    <w:p>
      <w:pPr>
        <w:pStyle w:val="FirstParagraph"/>
      </w:pPr>
      <w:r>
        <w:t xml:space="preserve">Unlike generic recruitment firms, our Frankfurt-specific Sales Report methodology focuses on **strategic alignment**:</w:t>
      </w:r>
    </w:p>
    <w:p>
      <w:pPr>
        <w:numPr>
          <w:ilvl w:val="0"/>
          <w:numId w:val="1002"/>
        </w:numPr>
        <w:pStyle w:val="Compact"/>
      </w:pPr>
      <w:r>
        <w:rPr>
          <w:bCs/>
          <w:b/>
        </w:rPr>
        <w:t xml:space="preserve">Deep Local Market Knowledge:</w:t>
      </w:r>
      <w:r>
        <w:t xml:space="preserve"> </w:t>
      </w:r>
      <w:r>
        <w:t xml:space="preserve">Our sales team includes ex-Deutsche Bank data science leaders who understand Frankfurt's risk appetite and operational nuances.</w:t>
      </w:r>
    </w:p>
    <w:p>
      <w:pPr>
        <w:numPr>
          <w:ilvl w:val="0"/>
          <w:numId w:val="1002"/>
        </w:numPr>
        <w:pStyle w:val="Compact"/>
      </w:pPr>
      <w:r>
        <w:rPr>
          <w:bCs/>
          <w:b/>
        </w:rPr>
        <w:t xml:space="preserve">Regulatory Precision:</w:t>
      </w:r>
      <w:r>
        <w:t xml:space="preserve"> </w:t>
      </w:r>
      <w:r>
        <w:t xml:space="preserve">All Data Scientists placed in Frankfurt hold certifications in EU data governance (e.g., CIPM, Certified GDPR Practitioner), addressing a top client concern.</w:t>
      </w:r>
    </w:p>
    <w:p>
      <w:pPr>
        <w:numPr>
          <w:ilvl w:val="0"/>
          <w:numId w:val="1002"/>
        </w:numPr>
        <w:pStyle w:val="Compact"/>
      </w:pPr>
      <w:r>
        <w:rPr>
          <w:bCs/>
          <w:b/>
        </w:rPr>
        <w:t xml:space="preserve">Cultural Integration Focus:</w:t>
      </w:r>
      <w:r>
        <w:t xml:space="preserve"> </w:t>
      </w:r>
      <w:r>
        <w:t xml:space="preserve">We screen candidates for German business communication style ("Klare Kommunikation") and teamwork norms—reducing cultural mismatch failures by 58%.</w:t>
      </w:r>
    </w:p>
    <w:bookmarkEnd w:id="23"/>
    <w:bookmarkStart w:id="24" w:name="Xc05b12563b03febf662238e7c5bdcb223ae0c05"/>
    <w:p>
      <w:pPr>
        <w:pStyle w:val="Heading2"/>
      </w:pPr>
      <w:r>
        <w:t xml:space="preserve">VI. Future Outlook: Scaling Data Scientist Sales in Germany Frankfurt</w:t>
      </w:r>
    </w:p>
    <w:p>
      <w:pPr>
        <w:pStyle w:val="FirstParagraph"/>
      </w:pPr>
      <w:r>
        <w:t xml:space="preserve">The demand trajectory is unequivocal. Our sales pipeline for Q1 2024 shows a **45% YoY increase** in Frankfurt Data Scientist inquiries, driven by:</w:t>
      </w:r>
    </w:p>
    <w:p>
      <w:pPr>
        <w:numPr>
          <w:ilvl w:val="0"/>
          <w:numId w:val="1003"/>
        </w:numPr>
        <w:pStyle w:val="Compact"/>
      </w:pPr>
      <w:r>
        <w:t xml:space="preserve">EU AI Act compliance requirements (effective Jan 2025) accelerating hiring.</w:t>
      </w:r>
    </w:p>
    <w:p>
      <w:pPr>
        <w:numPr>
          <w:ilvl w:val="0"/>
          <w:numId w:val="1003"/>
        </w:numPr>
        <w:pStyle w:val="Compact"/>
      </w:pPr>
      <w:r>
        <w:t xml:space="preserve">Rise of Frankfurt’s "FinTech Valley" ecosystem requiring embedded data science teams.</w:t>
      </w:r>
    </w:p>
    <w:p>
      <w:pPr>
        <w:numPr>
          <w:ilvl w:val="0"/>
          <w:numId w:val="1003"/>
        </w:numPr>
        <w:pStyle w:val="Compact"/>
      </w:pPr>
      <w:r>
        <w:t xml:space="preserve">Increased competition from Berlin/Swiss firms—making our local Frankfurt expertise a differentiator.</w:t>
      </w:r>
    </w:p>
    <w:p>
      <w:pPr>
        <w:pStyle w:val="FirstParagraph"/>
      </w:pPr>
      <w:r>
        <w:t xml:space="preserve">We recommend doubling down on three initiatives to maintain our sales leadership:</w:t>
      </w:r>
    </w:p>
    <w:p>
      <w:pPr>
        <w:numPr>
          <w:ilvl w:val="0"/>
          <w:numId w:val="1004"/>
        </w:numPr>
        <w:pStyle w:val="Compact"/>
      </w:pPr>
      <w:r>
        <w:rPr>
          <w:bCs/>
          <w:b/>
        </w:rPr>
        <w:t xml:space="preserve">Frankfurt Data Science Talent Hub:</w:t>
      </w:r>
      <w:r>
        <w:t xml:space="preserve"> </w:t>
      </w:r>
      <w:r>
        <w:t xml:space="preserve">Establishing a physical recruitment center within the EUREF Campus (Frankfurt’s tech district) by Q2 2024.</w:t>
      </w:r>
    </w:p>
    <w:p>
      <w:pPr>
        <w:numPr>
          <w:ilvl w:val="0"/>
          <w:numId w:val="1004"/>
        </w:numPr>
        <w:pStyle w:val="Compact"/>
      </w:pPr>
      <w:r>
        <w:rPr>
          <w:bCs/>
          <w:b/>
        </w:rPr>
        <w:t xml:space="preserve">Pricing Tier Strategy:</w:t>
      </w:r>
      <w:r>
        <w:t xml:space="preserve"> </w:t>
      </w:r>
      <w:r>
        <w:t xml:space="preserve">Introducing "Premium Frankfurt Data Scientist" package targeting top-tier banks with embedded compliance audits.</w:t>
      </w:r>
    </w:p>
    <w:p>
      <w:pPr>
        <w:numPr>
          <w:ilvl w:val="0"/>
          <w:numId w:val="1004"/>
        </w:numPr>
        <w:pStyle w:val="Compact"/>
      </w:pPr>
      <w:r>
        <w:rPr>
          <w:bCs/>
          <w:b/>
        </w:rPr>
        <w:t xml:space="preserve">Client Success Story Series:</w:t>
      </w:r>
      <w:r>
        <w:t xml:space="preserve"> </w:t>
      </w:r>
      <w:r>
        <w:t xml:space="preserve">Publishing case studies in German business media (e.g., Frankfurter Allgemeine Zeitung) showcasing Frankfurt-specific ROI.</w:t>
      </w:r>
    </w:p>
    <w:bookmarkEnd w:id="24"/>
    <w:bookmarkStart w:id="25" w:name="X3d960c2a47372c1c46b0baf5cdc577760888125"/>
    <w:p>
      <w:pPr>
        <w:pStyle w:val="Heading2"/>
      </w:pPr>
      <w:r>
        <w:t xml:space="preserve">VII. Conclusion: The Data Scientist as Frankfurt’s Strategic Asset</w:t>
      </w:r>
    </w:p>
    <w:p>
      <w:pPr>
        <w:pStyle w:val="FirstParagraph"/>
      </w:pPr>
      <w:r>
        <w:t xml:space="preserve">This Sales Report confirms that in Germany’s most pivotal business location, the Data Scientist is no longer a "nice-to-have"—it is the cornerstone of operational resilience and growth. Our 2023 performance in Frankfurt demonstrates that when sales teams speak directly to local regulatory needs, cultural context, and quantifiable financial impact (not just technical skills), they unlock premium-value placements. As Frankfurt solidifies its position as Europe’s AI governance leader, our ability to sell Data Scientists who deliver immediate ROI will define our market leadership for years to come. We project 2024 sales of €11.3M in Data Scientist placements within Germany Frankfurt—a 35% increase driven by this hyper-focused strategy.</w:t>
      </w:r>
    </w:p>
    <w:p>
      <w:pPr>
        <w:pStyle w:val="BodyText"/>
      </w:pPr>
      <w:r>
        <w:rPr>
          <w:bCs/>
          <w:b/>
        </w:rPr>
        <w:t xml:space="preserve">Prepared By:</w:t>
      </w:r>
      <w:r>
        <w:t xml:space="preserve"> </w:t>
      </w:r>
      <w:r>
        <w:t xml:space="preserve">Global Talent Solutions, Frankfurt Sales Division</w:t>
      </w:r>
      <w:r>
        <w:br/>
      </w:r>
      <w:r>
        <w:rPr>
          <w:bCs/>
          <w:b/>
        </w:rPr>
        <w:t xml:space="preserve">Contact:</w:t>
      </w:r>
      <w:r>
        <w:t xml:space="preserve"> </w:t>
      </w:r>
      <w:r>
        <w:t xml:space="preserve">Markus Vogel, Head of Sales, Germany &amp; Benelux | mvogel@gtls.com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Data Scientist Talent Acquisition in Germany Frankfurt</dc:title>
  <dc:creator/>
  <dc:language>en</dc:language>
  <cp:keywords/>
  <dcterms:created xsi:type="dcterms:W3CDTF">2026-07-20T21:09:19Z</dcterms:created>
  <dcterms:modified xsi:type="dcterms:W3CDTF">2026-07-20T21:09:19Z</dcterms:modified>
</cp:coreProperties>
</file>

<file path=docProps/custom.xml><?xml version="1.0" encoding="utf-8"?>
<Properties xmlns="http://schemas.openxmlformats.org/officeDocument/2006/custom-properties" xmlns:vt="http://schemas.openxmlformats.org/officeDocument/2006/docPropsVTypes"/>
</file>