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a183ae96cbeef6992906bb16dc554a23541e377"/>
    <w:p>
      <w:pPr>
        <w:pStyle w:val="Heading1"/>
      </w:pPr>
      <w:r>
        <w:t xml:space="preserve">Comprehensive Sales Report: Data Scientist Demand and Opportunity in Qatar Doha (Q3 2024)</w:t>
      </w:r>
    </w:p>
    <w:bookmarkStart w:id="20" w:name="executive-summary"/>
    <w:p>
      <w:pPr>
        <w:pStyle w:val="Heading2"/>
      </w:pPr>
      <w:r>
        <w:t xml:space="preserve">Executive Summary</w:t>
      </w:r>
    </w:p>
    <w:p>
      <w:pPr>
        <w:pStyle w:val="FirstParagraph"/>
      </w:pPr>
      <w:r>
        <w:t xml:space="preserve">This Sales Report details the burgeoning demand for Data Scientists within Qatar's Doha metropolitan area, analyzing market dynamics, client acquisition trends, and strategic opportunities. As Qatar accelerates its Vision 2030 initiatives—particularly in smart city infrastructure, energy transition, and healthcare digitalization—the need for advanced analytics talent has surged by 47% year-on-year. Our sales data confirms that Data Scientists have become the single most sought-after technical role across Qatari enterprises, with Doha serving as the undisputed epicenter of this talent market. This report validates our strategic investment in Data Scientist recruitment and training services specifically tailored for Qatar's unique economic landscape.</w:t>
      </w:r>
    </w:p>
    <w:bookmarkEnd w:id="20"/>
    <w:bookmarkStart w:id="21" w:name="X469e0e0fd5600f2ae0219186c51951498f46782"/>
    <w:p>
      <w:pPr>
        <w:pStyle w:val="Heading2"/>
      </w:pPr>
      <w:r>
        <w:t xml:space="preserve">Market Context: Qatar Doha's Data-Driven Transformation</w:t>
      </w:r>
    </w:p>
    <w:p>
      <w:pPr>
        <w:pStyle w:val="FirstParagraph"/>
      </w:pPr>
      <w:r>
        <w:t xml:space="preserve">Doha has emerged as the Gulf's fastest-growing hub for artificial intelligence and data science innovation, driven by national priorities to diversify beyond hydrocarbons. The Qatar National Vision 2030 explicitly targets "data-driven governance" and "smart nation" infrastructure, creating unprecedented demand for Data Scientists across government entities (e.g., Supreme Council of Information and Communications Technology), energy giants (QatarEnergy, RasGas), and financial institutions (Qatar National Bank). Our sales pipeline analysis reveals that 83% of Qatari enterprises now require dedicated Data Scientist roles to meet regulatory compliance, operational optimization, and strategic forecasting goals. Notably, Doha-based companies are offering compensation packages exceeding $150,000 annually for mid-level Data Scientists—a 22% increase from 2023—demonstrating the premium placed on this expertise.</w:t>
      </w:r>
    </w:p>
    <w:bookmarkEnd w:id="21"/>
    <w:bookmarkStart w:id="22" w:name="X63ab978bbec94f6877d4845fd2873a28536b6e6"/>
    <w:p>
      <w:pPr>
        <w:pStyle w:val="Heading2"/>
      </w:pPr>
      <w:r>
        <w:t xml:space="preserve">Sales Performance: Data Scientist Role Demand in Qatar Doha</w:t>
      </w:r>
    </w:p>
    <w:p>
      <w:pPr>
        <w:pStyle w:val="FirstParagraph"/>
      </w:pPr>
      <w:r>
        <w:t xml:space="preserve">Our Q3 sales figures showcase remarkable traction in Data Scientist solutions. We closed 47 new enterprise contracts with Doha-based organizations, representing a 35% quarterly increase and totaling $8.2M in revenue—accounting for 61% of our total Q3 pipeline. Key clients include:</w:t>
      </w:r>
    </w:p>
    <w:p>
      <w:pPr>
        <w:numPr>
          <w:ilvl w:val="0"/>
          <w:numId w:val="1001"/>
        </w:numPr>
        <w:pStyle w:val="Compact"/>
      </w:pPr>
      <w:r>
        <w:rPr>
          <w:bCs/>
          <w:b/>
        </w:rPr>
        <w:t xml:space="preserve">Qatar Airways</w:t>
      </w:r>
      <w:r>
        <w:t xml:space="preserve">: Secured a $1.2M contract for predictive maintenance analytics using Data Scientists to optimize fleet operations.</w:t>
      </w:r>
    </w:p>
    <w:p>
      <w:pPr>
        <w:numPr>
          <w:ilvl w:val="0"/>
          <w:numId w:val="1001"/>
        </w:numPr>
        <w:pStyle w:val="Compact"/>
      </w:pPr>
      <w:r>
        <w:rPr>
          <w:bCs/>
          <w:b/>
        </w:rPr>
        <w:t xml:space="preserve">Hamad Medical Corporation</w:t>
      </w:r>
      <w:r>
        <w:t xml:space="preserve">: Implemented AI-driven patient outcome modeling through our specialized Data Scientist team.</w:t>
      </w:r>
    </w:p>
    <w:p>
      <w:pPr>
        <w:numPr>
          <w:ilvl w:val="0"/>
          <w:numId w:val="1001"/>
        </w:numPr>
        <w:pStyle w:val="Compact"/>
      </w:pPr>
      <w:r>
        <w:rPr>
          <w:bCs/>
          <w:b/>
        </w:rPr>
        <w:t xml:space="preserve">Doha Metro Operations</w:t>
      </w:r>
      <w:r>
        <w:t xml:space="preserve">: Deployed real-time passenger flow optimization systems with our data science consultants.</w:t>
      </w:r>
    </w:p>
    <w:p>
      <w:pPr>
        <w:pStyle w:val="FirstParagraph"/>
      </w:pPr>
      <w:r>
        <w:t xml:space="preserve">Importantly, 92% of these deals originated from Doha-based decision-makers, underscoring the city's role as Qatar's commercial nucleus. Our sales cycle for Data Scientist solutions has shortened to 48 days on average—a 30% improvement—due to heightened client awareness of data science ROI following high-visibility projects like Lusail City’s smart infrastructure.</w:t>
      </w:r>
    </w:p>
    <w:bookmarkEnd w:id="22"/>
    <w:bookmarkStart w:id="23" w:name="competitive-landscape-analysis"/>
    <w:p>
      <w:pPr>
        <w:pStyle w:val="Heading2"/>
      </w:pPr>
      <w:r>
        <w:t xml:space="preserve">Competitive Landscape Analysis</w:t>
      </w:r>
    </w:p>
    <w:p>
      <w:pPr>
        <w:pStyle w:val="FirstParagraph"/>
      </w:pPr>
      <w:r>
        <w:t xml:space="preserve">The Qatar Doha market remains highly competitive, with three dominant players (including ourselves) capturing 78% of the Data Scientist recruitment segment. However, our localized strategy differentiates us:</w:t>
      </w:r>
    </w:p>
    <w:p>
      <w:pPr>
        <w:numPr>
          <w:ilvl w:val="0"/>
          <w:numId w:val="1002"/>
        </w:numPr>
        <w:pStyle w:val="Compact"/>
      </w:pPr>
      <w:r>
        <w:rPr>
          <w:bCs/>
          <w:b/>
        </w:rPr>
        <w:t xml:space="preserve">Cultural Integration:</w:t>
      </w:r>
      <w:r>
        <w:t xml:space="preserve"> </w:t>
      </w:r>
      <w:r>
        <w:t xml:space="preserve">We deploy Data Scientists with Gulf region experience and Arabic language proficiency—critical for navigating Qatar's business environment.</w:t>
      </w:r>
    </w:p>
    <w:p>
      <w:pPr>
        <w:numPr>
          <w:ilvl w:val="0"/>
          <w:numId w:val="1002"/>
        </w:numPr>
        <w:pStyle w:val="Compact"/>
      </w:pPr>
      <w:r>
        <w:rPr>
          <w:bCs/>
          <w:b/>
        </w:rPr>
        <w:t xml:space="preserve">Regulatory Alignment:</w:t>
      </w:r>
      <w:r>
        <w:t xml:space="preserve"> </w:t>
      </w:r>
      <w:r>
        <w:t xml:space="preserve">Our solutions comply with Qatar Central Bank data sovereignty laws and Ministry of Health AI ethics frameworks.</w:t>
      </w:r>
    </w:p>
    <w:p>
      <w:pPr>
        <w:numPr>
          <w:ilvl w:val="0"/>
          <w:numId w:val="1002"/>
        </w:numPr>
        <w:pStyle w:val="Compact"/>
      </w:pPr>
      <w:r>
        <w:rPr>
          <w:bCs/>
          <w:b/>
        </w:rPr>
        <w:t xml:space="preserve">Niche Specialization:</w:t>
      </w:r>
      <w:r>
        <w:t xml:space="preserve"> </w:t>
      </w:r>
      <w:r>
        <w:t xml:space="preserve">68% of our Data Scientist talent focuses on energy analytics (crucial for Qatar's LNG dominance) or healthcare informatics (addressing national health priorities).</w:t>
      </w:r>
    </w:p>
    <w:p>
      <w:pPr>
        <w:pStyle w:val="FirstParagraph"/>
      </w:pPr>
      <w:r>
        <w:t xml:space="preserve">Competitors' weaknesses—such as limited Arabic-speaking teams and generic global service models—have driven 31% of lost opportunities to our firm. For example, a major Doha real estate developer rejected another vendor due to their inability to contextualize data science for Qatar's unique property market dynamics.</w:t>
      </w:r>
    </w:p>
    <w:bookmarkEnd w:id="23"/>
    <w:bookmarkStart w:id="24" w:name="Xbc7f9a73fb9ffc395bab724cc6041026c9336c5"/>
    <w:p>
      <w:pPr>
        <w:pStyle w:val="Heading2"/>
      </w:pPr>
      <w:r>
        <w:t xml:space="preserve">Challenges Facing Data Scientist Sales in Qatar Doha</w:t>
      </w:r>
    </w:p>
    <w:p>
      <w:pPr>
        <w:pStyle w:val="FirstParagraph"/>
      </w:pPr>
      <w:r>
        <w:t xml:space="preserve">Despite robust demand, three key challenges require strategic mitigation:</w:t>
      </w:r>
    </w:p>
    <w:p>
      <w:pPr>
        <w:numPr>
          <w:ilvl w:val="0"/>
          <w:numId w:val="1003"/>
        </w:numPr>
        <w:pStyle w:val="Compact"/>
      </w:pPr>
      <w:r>
        <w:rPr>
          <w:bCs/>
          <w:b/>
        </w:rPr>
        <w:t xml:space="preserve">Talent Scarcity:</w:t>
      </w:r>
      <w:r>
        <w:t xml:space="preserve"> </w:t>
      </w:r>
      <w:r>
        <w:t xml:space="preserve">Only 17% of Qatari universities offer accredited data science degrees. We address this via partnerships with Qatar University's AI Institute and our proprietary talent development program.</w:t>
      </w:r>
    </w:p>
    <w:p>
      <w:pPr>
        <w:numPr>
          <w:ilvl w:val="0"/>
          <w:numId w:val="1003"/>
        </w:numPr>
        <w:pStyle w:val="Compact"/>
      </w:pPr>
      <w:r>
        <w:rPr>
          <w:bCs/>
          <w:b/>
        </w:rPr>
        <w:t xml:space="preserve">Cultural Misalignment:</w:t>
      </w:r>
      <w:r>
        <w:t xml:space="preserve"> </w:t>
      </w:r>
      <w:r>
        <w:t xml:space="preserve">Foreign Data Scientists often struggle with Doha's hierarchical business culture. Our solution: Mandatory "Qatar Business Context" training for all assigned professionals.</w:t>
      </w:r>
    </w:p>
    <w:p>
      <w:pPr>
        <w:numPr>
          <w:ilvl w:val="0"/>
          <w:numId w:val="1003"/>
        </w:numPr>
        <w:pStyle w:val="Compact"/>
      </w:pPr>
      <w:r>
        <w:rPr>
          <w:bCs/>
          <w:b/>
        </w:rPr>
        <w:t xml:space="preserve">Project Scope Creep:</w:t>
      </w:r>
      <w:r>
        <w:t xml:space="preserve"> </w:t>
      </w:r>
      <w:r>
        <w:t xml:space="preserve">Clients frequently underestimate data infrastructure needs. We now include mandatory 30-day discovery phases in all contracts to align expectations upfront.</w:t>
      </w:r>
    </w:p>
    <w:p>
      <w:pPr>
        <w:pStyle w:val="FirstParagraph"/>
      </w:pPr>
      <w:r>
        <w:t xml:space="preserve">These challenges have contributed to a 14% win rate on complex bids—below our target of 25%. However, post-contract client satisfaction remains at 96%, indicating strong delivery despite initial hurdles.</w:t>
      </w:r>
    </w:p>
    <w:bookmarkEnd w:id="24"/>
    <w:bookmarkStart w:id="25" w:name="strategic-opportunities-in-qatar-doha"/>
    <w:p>
      <w:pPr>
        <w:pStyle w:val="Heading2"/>
      </w:pPr>
      <w:r>
        <w:t xml:space="preserve">Strategic Opportunities in Qatar Doha</w:t>
      </w:r>
    </w:p>
    <w:p>
      <w:pPr>
        <w:pStyle w:val="FirstParagraph"/>
      </w:pPr>
      <w:r>
        <w:t xml:space="preserve">The future of Data Scientist sales in Qatar Doha hinges on three high-potential verticals:</w:t>
      </w:r>
    </w:p>
    <w:p>
      <w:pPr>
        <w:numPr>
          <w:ilvl w:val="0"/>
          <w:numId w:val="1004"/>
        </w:numPr>
        <w:pStyle w:val="Compact"/>
      </w:pPr>
      <w:r>
        <w:rPr>
          <w:bCs/>
          <w:b/>
        </w:rPr>
        <w:t xml:space="preserve">Energy Transition:</w:t>
      </w:r>
      <w:r>
        <w:t xml:space="preserve"> </w:t>
      </w:r>
      <w:r>
        <w:t xml:space="preserve">Qatar's $30B investment in green hydrogen requires data scientists for emissions modeling. Our sales team has qualified 12 energy clients for this initiative.</w:t>
      </w:r>
    </w:p>
    <w:p>
      <w:pPr>
        <w:numPr>
          <w:ilvl w:val="0"/>
          <w:numId w:val="1004"/>
        </w:numPr>
        <w:pStyle w:val="Compact"/>
      </w:pPr>
      <w:r>
        <w:rPr>
          <w:bCs/>
          <w:b/>
        </w:rPr>
        <w:t xml:space="preserve">Fintech Innovation:</w:t>
      </w:r>
      <w:r>
        <w:t xml:space="preserve"> </w:t>
      </w:r>
      <w:r>
        <w:t xml:space="preserve">With Doha's new Financial Centre licensing AI-driven credit scoring, we've secured pilot projects with 4 regional banks.</w:t>
      </w:r>
    </w:p>
    <w:p>
      <w:pPr>
        <w:pStyle w:val="FirstParagraph"/>
      </w:pPr>
      <w:r>
        <w:t xml:space="preserve">Critical to capturing these opportunities is our new "Qatar Data Science Accelerator" service: A 90-day onboarding package tailored for Doha's regulatory environment, including Qatari government system integration training and local partner network access. Early adopters (including Qatar Investment Authority) report 40% faster project deployment.</w:t>
      </w:r>
    </w:p>
    <w:bookmarkEnd w:id="25"/>
    <w:bookmarkStart w:id="26" w:name="conclusion-strategic-recommendations"/>
    <w:p>
      <w:pPr>
        <w:pStyle w:val="Heading2"/>
      </w:pPr>
      <w:r>
        <w:t xml:space="preserve">Conclusion &amp; Strategic Recommendations</w:t>
      </w:r>
    </w:p>
    <w:p>
      <w:pPr>
        <w:pStyle w:val="FirstParagraph"/>
      </w:pPr>
      <w:r>
        <w:t xml:space="preserve">The Data Scientist market in Qatar Doha is not merely growing—it is fundamentally reshaping enterprise strategy across the nation. Our Sales Report confirms that companies investing in specialized Data Scientist talent outperform peers by 3.1x in operational efficiency metrics (per McKinsey data). To maintain leadership, we recommend:</w:t>
      </w:r>
    </w:p>
    <w:p>
      <w:pPr>
        <w:numPr>
          <w:ilvl w:val="0"/>
          <w:numId w:val="1005"/>
        </w:numPr>
        <w:pStyle w:val="Compact"/>
      </w:pPr>
      <w:r>
        <w:rPr>
          <w:bCs/>
          <w:b/>
        </w:rPr>
        <w:t xml:space="preserve">Double Down on Local Talent Pipelines:</w:t>
      </w:r>
      <w:r>
        <w:t xml:space="preserve"> </w:t>
      </w:r>
      <w:r>
        <w:t xml:space="preserve">Allocate $500K to expand our Qatar University partnership for cohort-based Data Scientist certification.</w:t>
      </w:r>
    </w:p>
    <w:p>
      <w:pPr>
        <w:numPr>
          <w:ilvl w:val="0"/>
          <w:numId w:val="1005"/>
        </w:numPr>
        <w:pStyle w:val="Compact"/>
      </w:pPr>
      <w:r>
        <w:rPr>
          <w:bCs/>
          <w:b/>
        </w:rPr>
        <w:t xml:space="preserve">Develop Doha-Specific Service Bundles:</w:t>
      </w:r>
      <w:r>
        <w:t xml:space="preserve"> </w:t>
      </w:r>
      <w:r>
        <w:t xml:space="preserve">Create tiered packages (e.g., "Smart City Analytics Starter" for municipalities, "Energy AI Suite" for energy firms).</w:t>
      </w:r>
    </w:p>
    <w:p>
      <w:pPr>
        <w:numPr>
          <w:ilvl w:val="0"/>
          <w:numId w:val="1005"/>
        </w:numPr>
        <w:pStyle w:val="Compact"/>
      </w:pPr>
      <w:r>
        <w:rPr>
          <w:bCs/>
          <w:b/>
        </w:rPr>
        <w:t xml:space="preserve">Leverage High-Visibility Projects:</w:t>
      </w:r>
      <w:r>
        <w:t xml:space="preserve"> </w:t>
      </w:r>
      <w:r>
        <w:t xml:space="preserve">Showcase our Lusail Metro success story in all client proposals to build social proof.</w:t>
      </w:r>
    </w:p>
    <w:p>
      <w:pPr>
        <w:pStyle w:val="FirstParagraph"/>
      </w:pPr>
      <w:r>
        <w:t xml:space="preserve">Failure to capitalize on this momentum would be catastrophic. With Qatar's data-driven economy projected to grow at 18% CAGR through 2027, Data Scientists are no longer a luxury—they are the backbone of Qatar Doha's economic transformation. Our sales team must position every Data Scientist engagement as mission-critical infrastructure for national growth, not merely a technical hire.</w:t>
      </w:r>
    </w:p>
    <w:bookmarkEnd w:id="26"/>
    <w:bookmarkStart w:id="27" w:name="appendix-key-metrics-qatar-doha-market"/>
    <w:p>
      <w:pPr>
        <w:pStyle w:val="Heading2"/>
      </w:pPr>
      <w:r>
        <w:t xml:space="preserve">Appendix: Key Metrics (Qatar Doha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Q3 2024</w:t>
            </w:r>
          </w:p>
        </w:tc>
        <w:tc>
          <w:tcPr/>
          <w:p>
            <w:pPr>
              <w:pStyle w:val="Compact"/>
              <w:jc w:val="left"/>
            </w:pPr>
            <w:r>
              <w:t xml:space="preserve">YoY Change</w:t>
            </w:r>
          </w:p>
        </w:tc>
      </w:tr>
      <w:tr>
        <w:tc>
          <w:tcPr/>
          <w:p>
            <w:pPr>
              <w:pStyle w:val="Compact"/>
              <w:jc w:val="left"/>
            </w:pPr>
            <w:r>
              <w:t xml:space="preserve">Data Scientist Role Demand (Doha)</w:t>
            </w:r>
          </w:p>
        </w:tc>
        <w:tc>
          <w:tcPr/>
          <w:p>
            <w:pPr>
              <w:pStyle w:val="Compact"/>
              <w:jc w:val="left"/>
            </w:pPr>
            <w:r>
              <w:t xml:space="preserve">217 open positions</w:t>
            </w:r>
          </w:p>
        </w:tc>
        <w:tc>
          <w:tcPr/>
          <w:p>
            <w:pPr>
              <w:pStyle w:val="Compact"/>
              <w:jc w:val="left"/>
            </w:pPr>
            <w:r>
              <w:t xml:space="preserve">+47%</w:t>
            </w:r>
          </w:p>
        </w:tc>
      </w:tr>
      <w:tr>
        <w:tc>
          <w:tcPr/>
          <w:p>
            <w:pPr>
              <w:pStyle w:val="Compact"/>
              <w:jc w:val="left"/>
            </w:pPr>
            <w:r>
              <w:t xml:space="preserve">Average Recruitment Fee (Qatar Doha)</w:t>
            </w:r>
          </w:p>
        </w:tc>
        <w:tc>
          <w:tcPr/>
          <w:p>
            <w:pPr>
              <w:pStyle w:val="Compact"/>
              <w:jc w:val="left"/>
            </w:pPr>
            <w:r>
              <w:t xml:space="preserve">$18,500</w:t>
            </w:r>
          </w:p>
        </w:tc>
        <w:tc>
          <w:tcPr/>
          <w:p>
            <w:pPr>
              <w:pStyle w:val="Compact"/>
              <w:jc w:val="left"/>
            </w:pPr>
            <w:r>
              <w:t xml:space="preserve">+9%</w:t>
            </w:r>
          </w:p>
        </w:tc>
      </w:tr>
      <w:tr>
        <w:tc>
          <w:tcPr/>
          <w:p>
            <w:pPr>
              <w:pStyle w:val="Compact"/>
              <w:jc w:val="left"/>
            </w:pPr>
            <w:r>
              <w:t xml:space="preserve">Client Satisfaction Rate</w:t>
            </w:r>
          </w:p>
        </w:tc>
        <w:tc>
          <w:tcPr/>
          <w:p>
            <w:pPr>
              <w:pStyle w:val="Compact"/>
              <w:jc w:val="left"/>
            </w:pPr>
            <w:r>
              <w:t xml:space="preserve">96.2%</w:t>
            </w:r>
          </w:p>
        </w:tc>
        <w:tc>
          <w:tcPr/>
          <w:p>
            <w:pPr>
              <w:pStyle w:val="Compact"/>
              <w:jc w:val="left"/>
            </w:pPr>
            <w:r>
              <w:t xml:space="preserve">+8% YoY</w:t>
            </w:r>
          </w:p>
        </w:tc>
      </w:tr>
      <w:tr>
        <w:tc>
          <w:tcPr/>
          <w:p>
            <w:pPr>
              <w:pStyle w:val="Compact"/>
              <w:jc w:val="left"/>
            </w:pPr>
            <w:r>
              <w:t xml:space="preserve">Project Delivery Time (Avg.)</w:t>
            </w:r>
          </w:p>
        </w:tc>
        <w:tc>
          <w:tcPr/>
          <w:p>
            <w:pPr>
              <w:pStyle w:val="Compact"/>
              <w:jc w:val="left"/>
            </w:pPr>
            <w:r>
              <w:t xml:space="preserve">48 days</w:t>
            </w:r>
          </w:p>
        </w:tc>
        <w:tc>
          <w:tcPr/>
          <w:p>
            <w:pPr>
              <w:pStyle w:val="Compact"/>
              <w:jc w:val="left"/>
            </w:pPr>
            <w:r>
              <w:t xml:space="preserve">-30% vs. Q3 2023</w:t>
            </w:r>
          </w:p>
        </w:tc>
      </w:tr>
    </w:tbl>
    <w:p>
      <w:pPr>
        <w:pStyle w:val="BodyText"/>
      </w:pPr>
      <w:r>
        <w:rPr>
          <w:bCs/>
          <w:b/>
        </w:rPr>
        <w:t xml:space="preserve">Prepared By:</w:t>
      </w:r>
      <w:r>
        <w:t xml:space="preserve"> </w:t>
      </w:r>
      <w:r>
        <w:t xml:space="preserve">Global Data Talent Solutions | Qatar Doha Office | August 15, 2024</w:t>
      </w:r>
      <w:r>
        <w:br/>
      </w:r>
      <w:r>
        <w:rPr>
          <w:bCs/>
          <w:b/>
        </w:rPr>
        <w:t xml:space="preserve">Confidential: For Internal Sales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Qatar Doha Market Analysis</dc:title>
  <dc:creator/>
  <dc:language>en</dc:language>
  <cp:keywords/>
  <dcterms:created xsi:type="dcterms:W3CDTF">2026-07-14T17:40:35Z</dcterms:created>
  <dcterms:modified xsi:type="dcterms:W3CDTF">2026-07-14T17:40:35Z</dcterms:modified>
</cp:coreProperties>
</file>

<file path=docProps/custom.xml><?xml version="1.0" encoding="utf-8"?>
<Properties xmlns="http://schemas.openxmlformats.org/officeDocument/2006/custom-properties" xmlns:vt="http://schemas.openxmlformats.org/officeDocument/2006/docPropsVTypes"/>
</file>