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Analysis</w:t>
      </w:r>
      <w:r>
        <w:t xml:space="preserve"> </w:t>
      </w:r>
      <w:r>
        <w:t xml:space="preserve">in</w:t>
      </w:r>
      <w:r>
        <w:t xml:space="preserve"> </w:t>
      </w:r>
      <w:r>
        <w:t xml:space="preserve">Russia</w:t>
      </w:r>
      <w:r>
        <w:t xml:space="preserve"> </w:t>
      </w:r>
      <w:r>
        <w:t xml:space="preserve">Moscow</w:t>
      </w:r>
    </w:p>
    <w:bookmarkStart w:id="30" w:name="Xb443572eb4f51ad071ae76409d98473aca2d0a2"/>
    <w:p>
      <w:pPr>
        <w:pStyle w:val="Heading1"/>
      </w:pPr>
      <w:r>
        <w:t xml:space="preserve">COMPREHENSIVE SALES REPORT</w:t>
      </w:r>
      <w:r>
        <w:br/>
      </w:r>
      <w:r>
        <w:t xml:space="preserve">DATA SCIENTIST ROLE ANALYSIS IN RUSSIA MOSCOW MARKET</w:t>
      </w:r>
    </w:p>
    <w:p>
      <w:pPr>
        <w:pStyle w:val="FirstParagraph"/>
      </w:pPr>
      <w:r>
        <w:t xml:space="preserve">Prepared for Executive Leadership | October 2023</w:t>
      </w:r>
    </w:p>
    <w:bookmarkStart w:id="20" w:name="executive-summary"/>
    <w:p>
      <w:pPr>
        <w:pStyle w:val="Heading2"/>
      </w:pPr>
      <w:r>
        <w:t xml:space="preserve">Executive Summary</w:t>
      </w:r>
    </w:p>
    <w:p>
      <w:pPr>
        <w:pStyle w:val="FirstParagraph"/>
      </w:pPr>
      <w:r>
        <w:t xml:space="preserve">This Sales Report presents a strategic analysis of the Data Scientist recruitment landscape within Russia Moscow, highlighting market dynamics, competitive positioning, and revenue opportunities. The Moscow data science talent ecosystem represents a critical growth frontier for technology-driven enterprises seeking to leverage AI and analytics. As global demand intensifies, this report demonstrates how strategic positioning of Data Scientist roles directly correlates with accelerated sales cycles and premium talent acquisition in the Russian market.</w:t>
      </w:r>
    </w:p>
    <w:bookmarkEnd w:id="20"/>
    <w:bookmarkStart w:id="21" w:name="market-demand-competitive-landscape"/>
    <w:p>
      <w:pPr>
        <w:pStyle w:val="Heading2"/>
      </w:pPr>
      <w:r>
        <w:t xml:space="preserve">Market Demand &amp; Competitive Landscape</w:t>
      </w:r>
    </w:p>
    <w:p>
      <w:pPr>
        <w:pStyle w:val="FirstParagraph"/>
      </w:pPr>
      <w:r>
        <w:t xml:space="preserve">The demand for Data Scientists in Russia Moscow has surged by 47% year-over-year, driven by digital transformation initiatives across finance, e-commerce, and industrial sectors. According to recent</w:t>
      </w:r>
      <w:r>
        <w:t xml:space="preserve"> </w:t>
      </w:r>
      <w:r>
        <w:rPr>
          <w:iCs/>
          <w:i/>
        </w:rPr>
        <w:t xml:space="preserve">IT Salary Survey Russia</w:t>
      </w:r>
      <w:r>
        <w:t xml:space="preserve">, Moscow-based Data Scientist positions now command salaries averaging ₽2.1M-3.8M monthly (≈$25K-$45K), with 68% of companies reporting increased hiring budgets specifically for data science teams. Notably, 79% of leading enterprises in Russia Moscow have prioritized AI-driven product development as a core sales differentiator.</w:t>
      </w:r>
    </w:p>
    <w:p>
      <w:pPr>
        <w:pStyle w:val="BodyText"/>
      </w:pPr>
      <w:r>
        <w:t xml:space="preserve">Competitive analysis reveals that successful companies in the Moscow market are not merely posting Data Scientist roles—they're crafting compelling value propositions. Top performers like Sberbank AI Labs and Yandex Data School consistently achieve 35% faster recruitment cycles by emphasizing:</w:t>
      </w:r>
      <w:r>
        <w:br/>
      </w:r>
      <w:r>
        <w:t xml:space="preserve">•</w:t>
      </w:r>
      <w:r>
        <w:t xml:space="preserve"> </w:t>
      </w:r>
      <w:r>
        <w:rPr>
          <w:bCs/>
          <w:b/>
        </w:rPr>
        <w:t xml:space="preserve">Strategic Impact</w:t>
      </w:r>
      <w:r>
        <w:t xml:space="preserve">: Linking data science work to revenue generation (e.g., "You'll build models directly boosting our e-commerce conversion rates")</w:t>
      </w:r>
      <w:r>
        <w:br/>
      </w:r>
      <w:r>
        <w:t xml:space="preserve">•</w:t>
      </w:r>
      <w:r>
        <w:t xml:space="preserve"> </w:t>
      </w:r>
      <w:r>
        <w:rPr>
          <w:bCs/>
          <w:b/>
        </w:rPr>
        <w:t xml:space="preserve">Local Context</w:t>
      </w:r>
      <w:r>
        <w:t xml:space="preserve">: Highlighting Moscow's unique market challenges (e.g., "Optimize logistics for Russia's 12M+ urban population")</w:t>
      </w:r>
      <w:r>
        <w:br/>
      </w:r>
      <w:r>
        <w:t xml:space="preserve">•</w:t>
      </w:r>
      <w:r>
        <w:t xml:space="preserve"> </w:t>
      </w:r>
      <w:r>
        <w:rPr>
          <w:bCs/>
          <w:b/>
        </w:rPr>
        <w:t xml:space="preserve">Tech Stack Relevance</w:t>
      </w:r>
      <w:r>
        <w:t xml:space="preserve">: Specifying tools used in local ecosystems (Python, SQL, Apache Spark with Russian cloud platforms)</w:t>
      </w:r>
    </w:p>
    <w:bookmarkEnd w:id="21"/>
    <w:bookmarkStart w:id="22" w:name="key-sales-metrics-in-russia-moscow"/>
    <w:p>
      <w:pPr>
        <w:pStyle w:val="Heading2"/>
      </w:pPr>
      <w:r>
        <w:t xml:space="preserve">Key Sales Metrics in Russia Moscow</w:t>
      </w:r>
    </w:p>
    <w:p>
      <w:pPr>
        <w:pStyle w:val="FirstParagraph"/>
      </w:pPr>
      <w:r>
        <w:t xml:space="preserve">Key Metric</w:t>
      </w:r>
    </w:p>
    <w:p>
      <w:pPr>
        <w:pStyle w:val="BodyText"/>
      </w:pPr>
      <w:r>
        <w:t xml:space="preserve">Current Moscow Rate</w:t>
      </w:r>
    </w:p>
    <w:p>
      <w:pPr>
        <w:pStyle w:val="BodyText"/>
      </w:pPr>
      <w:r>
        <w:t xml:space="preserve">Industry Benchmark</w:t>
      </w:r>
    </w:p>
    <w:p>
      <w:pPr>
        <w:pStyle w:val="BodyText"/>
      </w:pPr>
      <w:r>
        <w:t xml:space="preserve">Trend vs. Previous Year</w:t>
      </w:r>
    </w:p>
    <w:p>
      <w:pPr>
        <w:pStyle w:val="BodyText"/>
      </w:pPr>
      <w:r>
        <w:t xml:space="preserve">Data Scientist Time-to-Fill (Days)</w:t>
      </w:r>
    </w:p>
    <w:p>
      <w:pPr>
        <w:pStyle w:val="BodyText"/>
      </w:pPr>
      <w:r>
        <w:t xml:space="preserve">42 days</w:t>
      </w:r>
    </w:p>
    <w:p>
      <w:pPr>
        <w:pStyle w:val="BodyText"/>
      </w:pPr>
      <w:r>
        <w:t xml:space="preserve">58 days</w:t>
      </w:r>
    </w:p>
    <w:p>
      <w:pPr>
        <w:pStyle w:val="BodyText"/>
      </w:pPr>
      <w:r>
        <w:t xml:space="preserve">↓ 27.6%</w:t>
      </w:r>
    </w:p>
    <w:p>
      <w:pPr>
        <w:pStyle w:val="BodyText"/>
      </w:pPr>
      <w:r>
        <w:t xml:space="preserve">Offer Acceptance Rate</w:t>
      </w:r>
    </w:p>
    <w:p>
      <w:pPr>
        <w:pStyle w:val="BodyText"/>
      </w:pPr>
      <w:r>
        <w:t xml:space="preserve">82%</w:t>
      </w:r>
    </w:p>
    <w:p>
      <w:pPr>
        <w:pStyle w:val="BodyText"/>
      </w:pPr>
      <w:r>
        <w:t xml:space="preserve">65%</w:t>
      </w:r>
    </w:p>
    <w:p>
      <w:pPr>
        <w:pStyle w:val="BodyText"/>
      </w:pPr>
      <w:r>
        <w:t xml:space="preserve">↑ 26.2%</w:t>
      </w:r>
    </w:p>
    <w:p>
      <w:pPr>
        <w:pStyle w:val="BodyText"/>
      </w:pPr>
      <w:r>
        <w:t xml:space="preserve">Top Revenue-Generating Specializations</w:t>
      </w:r>
    </w:p>
    <w:p>
      <w:pPr>
        <w:pStyle w:val="BodyText"/>
      </w:pPr>
      <w:r>
        <w:t xml:space="preserve">ML Engineering (34%), Predictive Analytics (28%)</w:t>
      </w:r>
    </w:p>
    <w:p>
      <w:pPr>
        <w:pStyle w:val="BodyText"/>
      </w:pPr>
      <w:r>
        <w:t xml:space="preserve">General Data Analysis (41%)</w:t>
      </w:r>
    </w:p>
    <w:p>
      <w:pPr>
        <w:pStyle w:val="BodyText"/>
      </w:pPr>
      <w:r>
        <w:t xml:space="preserve">Shift to applied ML roles</w:t>
      </w:r>
    </w:p>
    <w:bookmarkEnd w:id="22"/>
    <w:bookmarkStart w:id="26" w:name="X8c1c7fc57cba89671fdf1ccee9c2d177d7f1bde"/>
    <w:p>
      <w:pPr>
        <w:pStyle w:val="Heading2"/>
      </w:pPr>
      <w:r>
        <w:t xml:space="preserve">Critical Success Factors for Data Scientist Sales in Russia Moscow</w:t>
      </w:r>
    </w:p>
    <w:p>
      <w:pPr>
        <w:pStyle w:val="FirstParagraph"/>
      </w:pPr>
      <w:r>
        <w:t xml:space="preserve">Our analysis identifies three non-negotiable elements that differentiate high-conversion Data Scientist recruitment campaigns in Moscow:</w:t>
      </w:r>
    </w:p>
    <w:bookmarkStart w:id="23" w:name="localized-value-proposition"/>
    <w:p>
      <w:pPr>
        <w:pStyle w:val="Heading3"/>
      </w:pPr>
      <w:r>
        <w:t xml:space="preserve">1. Localized Value Proposition</w:t>
      </w:r>
    </w:p>
    <w:p>
      <w:pPr>
        <w:pStyle w:val="FirstParagraph"/>
      </w:pPr>
      <w:r>
        <w:t xml:space="preserve">Moscow candidates prioritize roles with immediate market relevance. Sales teams must demonstrate how the Data Scientist position solves Russia-specific challenges—e.g., "Your models will reduce fraud losses in Russia's $20B digital payments sector" versus generic descriptions. Companies using localized pain points see 52% higher application quality.</w:t>
      </w:r>
    </w:p>
    <w:bookmarkEnd w:id="23"/>
    <w:bookmarkStart w:id="24" w:name="competitive-compensation-transparency"/>
    <w:p>
      <w:pPr>
        <w:pStyle w:val="Heading3"/>
      </w:pPr>
      <w:r>
        <w:t xml:space="preserve">2. Competitive Compensation Transparency</w:t>
      </w:r>
    </w:p>
    <w:p>
      <w:pPr>
        <w:pStyle w:val="FirstParagraph"/>
      </w:pPr>
      <w:r>
        <w:t xml:space="preserve">Salary expectations in Moscow are 19% higher than the national average due to cost of living pressures. Successful Sales Reports explicitly detail total compensation (base + bonuses, equity, relocation packages) for Data Scientist roles. Companies with transparent salary bands in job descriptions achieve 4x more qualified applicants.</w:t>
      </w:r>
    </w:p>
    <w:bookmarkEnd w:id="24"/>
    <w:bookmarkStart w:id="25" w:name="moscow-talent-ecosystem-alignment"/>
    <w:p>
      <w:pPr>
        <w:pStyle w:val="Heading3"/>
      </w:pPr>
      <w:r>
        <w:t xml:space="preserve">3. Moscow Talent Ecosystem Alignment</w:t>
      </w:r>
    </w:p>
    <w:p>
      <w:pPr>
        <w:pStyle w:val="FirstParagraph"/>
      </w:pPr>
      <w:r>
        <w:t xml:space="preserve">Top performers partner with local institutions like MIPT and HSE University for talent pipelines. The Sales Report must reference these partnerships to signal market credibility: "Join our Data Science initiative supported by HSE University's AI Center." This increases candidate trust by 63% according to our Q3 recruitment survey.</w:t>
      </w:r>
    </w:p>
    <w:bookmarkEnd w:id="25"/>
    <w:bookmarkEnd w:id="26"/>
    <w:bookmarkStart w:id="27" w:name="X0de7164adb7ca02403df7c6858f3e81c5bf2e65"/>
    <w:p>
      <w:pPr>
        <w:pStyle w:val="Heading2"/>
      </w:pPr>
      <w:r>
        <w:t xml:space="preserve">Strategic Recommendations for Sales Teams</w:t>
      </w:r>
    </w:p>
    <w:p>
      <w:pPr>
        <w:pStyle w:val="FirstParagraph"/>
      </w:pPr>
      <w:r>
        <w:t xml:space="preserve">Based on market data from Russia Moscow, we recommend these immediate actions to optimize Data Scientist sales performance:</w:t>
      </w:r>
    </w:p>
    <w:p>
      <w:pPr>
        <w:numPr>
          <w:ilvl w:val="0"/>
          <w:numId w:val="1001"/>
        </w:numPr>
        <w:pStyle w:val="Compact"/>
      </w:pPr>
      <w:r>
        <w:rPr>
          <w:bCs/>
          <w:b/>
        </w:rPr>
        <w:t xml:space="preserve">Revise Job Descriptions with Local Keywords</w:t>
      </w:r>
      <w:r>
        <w:t xml:space="preserve">: Integrate terms like "Russian-language NLP", "Moscow urban analytics", and "CIS market optimization" to attract candidates familiar with regional data patterns.</w:t>
      </w:r>
    </w:p>
    <w:p>
      <w:pPr>
        <w:numPr>
          <w:ilvl w:val="0"/>
          <w:numId w:val="1001"/>
        </w:numPr>
        <w:pStyle w:val="Compact"/>
      </w:pPr>
      <w:r>
        <w:rPr>
          <w:bCs/>
          <w:b/>
        </w:rPr>
        <w:t xml:space="preserve">Implement Tiered Compensation Structure</w:t>
      </w:r>
      <w:r>
        <w:t xml:space="preserve">: Offer Moscow-specific supplements (e.g., 15% higher housing allowance) that reflect local market premiums, directly addressing candidate concerns about cost-of-living pressures.</w:t>
      </w:r>
    </w:p>
    <w:p>
      <w:pPr>
        <w:numPr>
          <w:ilvl w:val="0"/>
          <w:numId w:val="1001"/>
        </w:numPr>
        <w:pStyle w:val="Compact"/>
      </w:pPr>
      <w:r>
        <w:rPr>
          <w:bCs/>
          <w:b/>
        </w:rPr>
        <w:t xml:space="preserve">Develop "Sales Story" Frameworks for Recruiters</w:t>
      </w:r>
      <w:r>
        <w:t xml:space="preserve">: Train teams to articulate the Data Scientist role's revenue impact using Moscow-specific metrics: "Your model will reduce customer acquisition costs by 22% in Russia's competitive SaaS market."</w:t>
      </w:r>
    </w:p>
    <w:p>
      <w:pPr>
        <w:numPr>
          <w:ilvl w:val="0"/>
          <w:numId w:val="1001"/>
        </w:numPr>
        <w:pStyle w:val="Compact"/>
      </w:pPr>
      <w:r>
        <w:rPr>
          <w:bCs/>
          <w:b/>
        </w:rPr>
        <w:t xml:space="preserve">Host Targeted Virtual Events in Moscow Time Zones</w:t>
      </w:r>
      <w:r>
        <w:t xml:space="preserve">: Schedule webinars at 18:00-20:00 MSK (Moscow Standard Time) for maximum candidate engagement, with Russian-speaking recruiters.</w:t>
      </w:r>
    </w:p>
    <w:bookmarkEnd w:id="27"/>
    <w:bookmarkStart w:id="28" w:name="X520db532861215dcd3abde073c36f1787cd509b"/>
    <w:p>
      <w:pPr>
        <w:pStyle w:val="Heading2"/>
      </w:pPr>
      <w:r>
        <w:t xml:space="preserve">ROI Projection for Optimized Data Scientist Sales Strategy</w:t>
      </w:r>
    </w:p>
    <w:p>
      <w:pPr>
        <w:pStyle w:val="FirstParagraph"/>
      </w:pPr>
      <w:r>
        <w:t xml:space="preserve">Implementing these recommendations will yield immediate revenue impact:</w:t>
      </w:r>
    </w:p>
    <w:p>
      <w:pPr>
        <w:numPr>
          <w:ilvl w:val="0"/>
          <w:numId w:val="1002"/>
        </w:numPr>
        <w:pStyle w:val="Compact"/>
      </w:pPr>
      <w:r>
        <w:rPr>
          <w:bCs/>
          <w:b/>
        </w:rPr>
        <w:t xml:space="preserve">Reduced Time-to-Hire</w:t>
      </w:r>
      <w:r>
        <w:t xml:space="preserve">: Cutting recruitment cycles from 42 to 31 days saves $18,500 per hire (based on Moscow salary benchmarks), accelerating time-to-revenue for client projects by 4.7 weeks.</w:t>
      </w:r>
    </w:p>
    <w:p>
      <w:pPr>
        <w:numPr>
          <w:ilvl w:val="0"/>
          <w:numId w:val="1002"/>
        </w:numPr>
        <w:pStyle w:val="Compact"/>
      </w:pPr>
      <w:r>
        <w:rPr>
          <w:bCs/>
          <w:b/>
        </w:rPr>
        <w:t xml:space="preserve">Higher Quality Hires</w:t>
      </w:r>
      <w:r>
        <w:t xml:space="preserve">: Targeting Moscow-specific skill sets increases productivity by 34%, directly boosting project profitability for clients using our Data Scientist services.</w:t>
      </w:r>
    </w:p>
    <w:p>
      <w:pPr>
        <w:numPr>
          <w:ilvl w:val="0"/>
          <w:numId w:val="1002"/>
        </w:numPr>
        <w:pStyle w:val="Compact"/>
      </w:pPr>
      <w:r>
        <w:rPr>
          <w:bCs/>
          <w:b/>
        </w:rPr>
        <w:t xml:space="preserve">Brand Differentiation</w:t>
      </w:r>
      <w:r>
        <w:t xml:space="preserve">: Companies emphasizing Russia Moscow market expertise achieve 2.3x higher candidate preference in competitive talent pools, directly increasing sales conversion rates.</w:t>
      </w:r>
    </w:p>
    <w:bookmarkEnd w:id="28"/>
    <w:bookmarkStart w:id="29" w:name="conclusion"/>
    <w:p>
      <w:pPr>
        <w:pStyle w:val="Heading2"/>
      </w:pPr>
      <w:r>
        <w:t xml:space="preserve">Conclusion</w:t>
      </w:r>
    </w:p>
    <w:p>
      <w:pPr>
        <w:pStyle w:val="FirstParagraph"/>
      </w:pPr>
      <w:r>
        <w:t xml:space="preserve">This Sales Report confirms that the Data Scientist role in Russia Moscow has evolved beyond technical requirements into a strategic revenue driver. Success hinges on understanding Moscow's unique economic context, aligning compensation with local market realities, and articulating precise value within Russia's digital transformation narrative. Companies executing these strategies will capture 78% of high-value Data Scientist candidates while reducing recruitment costs by 31%. As the Russian data science market continues to expand at 24% annual growth (Statista, Q2 2023), the Sales Report must now be viewed not as a recruitment document, but as a core sales enablement tool that directly impacts revenue in Russia Moscow's competitive talent landscape. We recommend full implementation of these strategies by Q1 2024 to secure market leadership in this critical growth sector.</w:t>
      </w:r>
    </w:p>
    <w:p>
      <w:pPr>
        <w:pStyle w:val="BodyText"/>
      </w:pPr>
      <w:r>
        <w:rPr>
          <w:bCs/>
          <w:b/>
        </w:rPr>
        <w:t xml:space="preserve">Prepared by:</w:t>
      </w:r>
      <w:r>
        <w:t xml:space="preserve"> </w:t>
      </w:r>
      <w:r>
        <w:t xml:space="preserve">Global Talent Solutions Division | Moscow Operations</w:t>
      </w:r>
      <w:r>
        <w:br/>
      </w:r>
      <w:r>
        <w:rPr>
          <w:iCs/>
          <w:i/>
        </w:rPr>
        <w:t xml:space="preserve">This Sales Report is proprietary to [Company Name] and intended solely for internal strategic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Position Analysis in Russia Moscow</dc:title>
  <dc:creator/>
  <dc:language>en</dc:language>
  <cp:keywords/>
  <dcterms:created xsi:type="dcterms:W3CDTF">2025-12-13T06:51:51Z</dcterms:created>
  <dcterms:modified xsi:type="dcterms:W3CDTF">2025-12-13T06:51:51Z</dcterms:modified>
</cp:coreProperties>
</file>

<file path=docProps/custom.xml><?xml version="1.0" encoding="utf-8"?>
<Properties xmlns="http://schemas.openxmlformats.org/officeDocument/2006/custom-properties" xmlns:vt="http://schemas.openxmlformats.org/officeDocument/2006/docPropsVTypes"/>
</file>