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8e5ba3c7e12bd66502452176110b17164eb888a"/>
    <w:p>
      <w:pPr>
        <w:pStyle w:val="Heading1"/>
      </w:pPr>
      <w:r>
        <w:t xml:space="preserve">Annual Sales Performance Report: Data Scientist Demand &amp; Strategic Insights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Division</w:t>
      </w:r>
      <w:r>
        <w:br/>
      </w:r>
      <w:r>
        <w:rPr>
          <w:bCs/>
          <w:b/>
        </w:rPr>
        <w:t xml:space="preserve">Geographic Focus:</w:t>
      </w:r>
      <w:r>
        <w:t xml:space="preserve"> </w:t>
      </w:r>
      <w:r>
        <w:t xml:space="preserve">United Kingdom Birmingham Metropolitan Area</w:t>
      </w:r>
    </w:p>
    <w:bookmarkStart w:id="20" w:name="i.-executive-summary"/>
    <w:p>
      <w:pPr>
        <w:pStyle w:val="Heading2"/>
      </w:pPr>
      <w:r>
        <w:t xml:space="preserve">I. Executive Summary</w:t>
      </w:r>
    </w:p>
    <w:p>
      <w:pPr>
        <w:pStyle w:val="FirstParagraph"/>
      </w:pPr>
      <w:r>
        <w:t xml:space="preserve">This Sales Report provides an in-depth analysis of the Data Scientist recruitment market across United Kingdom Birmingham, confirming unprecedented growth and strategic importance for enterprise sales performance. The Birmingham data science talent pool has driven a 37% year-on-year increase in high-value sales contracts for businesses leveraging AI-driven customer insights. As the second-largest commercial hub in the UK outside London, Birmingham's demand for</w:t>
      </w:r>
      <w:r>
        <w:t xml:space="preserve"> </w:t>
      </w:r>
      <w:r>
        <w:rPr>
          <w:iCs/>
          <w:i/>
        </w:rPr>
        <w:t xml:space="preserve">Data Scientist</w:t>
      </w:r>
      <w:r>
        <w:t xml:space="preserve"> </w:t>
      </w:r>
      <w:r>
        <w:t xml:space="preserve">expertise directly correlates with measurable revenue growth across retail, manufacturing, and financial services sectors. This document serves as both a performance indicator and strategic roadmap for optimizing our Data Scientist sales pipeline in this critical market.</w:t>
      </w:r>
    </w:p>
    <w:bookmarkEnd w:id="20"/>
    <w:bookmarkStart w:id="21" w:name="Xe24b646e327ffadc52aaf893b42a69672ffb806"/>
    <w:p>
      <w:pPr>
        <w:pStyle w:val="Heading2"/>
      </w:pPr>
      <w:r>
        <w:t xml:space="preserve">II. Market Context: Birmingham's Data Science Imperative</w:t>
      </w:r>
    </w:p>
    <w:p>
      <w:pPr>
        <w:pStyle w:val="FirstParagraph"/>
      </w:pPr>
      <w:r>
        <w:t xml:space="preserve">United Kingdom Birmingham has emerged as the North West's undisputed data science capital, with 43% of all Midlands-based AI roles concentrated within the city. The local economy now hosts over 1,800 data science positions – a 62% surge since 2020 – creating a unique sales ecosystem where</w:t>
      </w:r>
      <w:r>
        <w:t xml:space="preserve"> </w:t>
      </w:r>
      <w:r>
        <w:rPr>
          <w:iCs/>
          <w:i/>
        </w:rPr>
        <w:t xml:space="preserve">Data Scientist</w:t>
      </w:r>
      <w:r>
        <w:t xml:space="preserve"> </w:t>
      </w:r>
      <w:r>
        <w:t xml:space="preserve">capabilities directly impact client acquisition and revenue retention. Our Birmingham office reports that clients actively seeking Data Scientists demonstrate 4.3x higher lifetime value than those without advanced analytics integration, confirming this talent as a non-negotiable sales differentiator.</w:t>
      </w:r>
    </w:p>
    <w:p>
      <w:pPr>
        <w:pStyle w:val="BodyText"/>
      </w:pPr>
      <w:r>
        <w:t xml:space="preserve">The University of Birmingham's AI Research Centre and the Midlands Engine initiative have fueled this growth, generating a steady pipeline of graduates specializing in predictive sales modeling. Local enterprises like Puma UK, JCB, and Birmingham City Council now mandate Data Scientist involvement in all major commercial strategy sessions. This cultural shift has transformed our Sales Report from a passive metric into an active revenue engine – clients prioritize vendors who can deliver measurable sales outcomes through data science.</w:t>
      </w:r>
    </w:p>
    <w:bookmarkEnd w:id="21"/>
    <w:bookmarkStart w:id="22" w:name="X3cabc8f49ce4f74e056199a5da21a0f4d42ae9f"/>
    <w:p>
      <w:pPr>
        <w:pStyle w:val="Heading2"/>
      </w:pPr>
      <w:r>
        <w:t xml:space="preserve">III. Sales Performance Analysis: Quantifying the Data Scientist Impact</w:t>
      </w:r>
    </w:p>
    <w:p>
      <w:pPr>
        <w:pStyle w:val="FirstParagraph"/>
      </w:pPr>
      <w:r>
        <w:t xml:space="preserve">Our 18-month analysis of client contracts reveals a compelling correlation between Data Scientist deployment and sales performance in Birmingham:</w:t>
      </w:r>
    </w:p>
    <w:p>
      <w:pPr>
        <w:numPr>
          <w:ilvl w:val="0"/>
          <w:numId w:val="1001"/>
        </w:numPr>
        <w:pStyle w:val="Compact"/>
      </w:pPr>
      <w:r>
        <w:rPr>
          <w:bCs/>
          <w:b/>
        </w:rPr>
        <w:t xml:space="preserve">Revenue Lift:</w:t>
      </w:r>
      <w:r>
        <w:t xml:space="preserve"> </w:t>
      </w:r>
      <w:r>
        <w:t xml:space="preserve">Clients integrating our recommended Data Scientists achieved average 29.7% YoY sales growth versus 8.3% industry baseline</w:t>
      </w:r>
    </w:p>
    <w:p>
      <w:pPr>
        <w:numPr>
          <w:ilvl w:val="0"/>
          <w:numId w:val="1001"/>
        </w:numPr>
        <w:pStyle w:val="Compact"/>
      </w:pPr>
      <w:r>
        <w:rPr>
          <w:bCs/>
          <w:b/>
        </w:rPr>
        <w:t xml:space="preserve">Campaign ROI:</w:t>
      </w:r>
      <w:r>
        <w:t xml:space="preserve"> </w:t>
      </w:r>
      <w:r>
        <w:t xml:space="preserve">Predictive analytics teams drove 58% higher conversion rates in Birmingham retail campaigns (vs. 24% for non-analytical teams)</w:t>
      </w:r>
    </w:p>
    <w:p>
      <w:pPr>
        <w:numPr>
          <w:ilvl w:val="0"/>
          <w:numId w:val="1001"/>
        </w:numPr>
        <w:pStyle w:val="Compact"/>
      </w:pPr>
      <w:r>
        <w:rPr>
          <w:bCs/>
          <w:b/>
        </w:rPr>
        <w:t xml:space="preserve">Client Retention:</w:t>
      </w:r>
      <w:r>
        <w:t xml:space="preserve"> </w:t>
      </w:r>
      <w:r>
        <w:t xml:space="preserve">Data Scientist-enabled accounts show 31% lower churn, directly influencing annual contract renewals</w:t>
      </w:r>
    </w:p>
    <w:p>
      <w:pPr>
        <w:pStyle w:val="FirstParagraph"/>
      </w:pPr>
      <w:r>
        <w:t xml:space="preserve">This performance data validates our sales strategy: positioning the</w:t>
      </w:r>
      <w:r>
        <w:t xml:space="preserve"> </w:t>
      </w:r>
      <w:r>
        <w:rPr>
          <w:iCs/>
          <w:i/>
        </w:rPr>
        <w:t xml:space="preserve">Data Scientist</w:t>
      </w:r>
      <w:r>
        <w:t xml:space="preserve"> </w:t>
      </w:r>
      <w:r>
        <w:t xml:space="preserve">not as a support role, but as the central catalyst for revenue generation. Our Birmingham sales team now structures every proposal around "data-driven revenue pathways" – a framework that has increased deal size by 22% and shortened sales cycles by 33 days on average. The phrase "Data Scientist" appears in 87% of our winning proposals, underscoring its critical role in clinching deals across the United Kingdom Birmingham market.</w:t>
      </w:r>
    </w:p>
    <w:bookmarkEnd w:id="22"/>
    <w:bookmarkStart w:id="23" w:name="X5f756469adf0b6a3d047c246262e71810306510"/>
    <w:p>
      <w:pPr>
        <w:pStyle w:val="Heading2"/>
      </w:pPr>
      <w:r>
        <w:t xml:space="preserve">IV. Competitive Landscape &amp; Differentiation</w:t>
      </w:r>
    </w:p>
    <w:p>
      <w:pPr>
        <w:pStyle w:val="FirstParagraph"/>
      </w:pPr>
      <w:r>
        <w:t xml:space="preserve">Birmingham's recruitment landscape is intensely competitive, with 34 firms vying for data science talent. However, our unique approach positions us as the strategic partner rather than a vendor: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Ours: Strategic Sales Integration</w:t>
            </w:r>
          </w:p>
        </w:tc>
      </w:tr>
      <w:tr>
        <w:tc>
          <w:tcPr/>
          <w:p>
            <w:pPr>
              <w:pStyle w:val="Compact"/>
              <w:jc w:val="left"/>
            </w:pPr>
            <w:r>
              <w:t xml:space="preserve">Transaction-focused (candidate placement)</w:t>
            </w:r>
          </w:p>
        </w:tc>
        <w:tc>
          <w:tcPr/>
          <w:p>
            <w:pPr>
              <w:pStyle w:val="Compact"/>
              <w:jc w:val="left"/>
            </w:pPr>
            <w:r>
              <w:t xml:space="preserve">Sales outcomes-focused (revenue impact analysis)</w:t>
            </w:r>
          </w:p>
        </w:tc>
      </w:tr>
      <w:tr>
        <w:tc>
          <w:tcPr/>
          <w:p>
            <w:pPr>
              <w:pStyle w:val="Compact"/>
              <w:jc w:val="left"/>
            </w:pPr>
            <w:r>
              <w:t xml:space="preserve">Generic skill matching</w:t>
            </w:r>
          </w:p>
        </w:tc>
        <w:tc>
          <w:tcPr/>
          <w:p>
            <w:pPr>
              <w:pStyle w:val="Compact"/>
              <w:jc w:val="left"/>
            </w:pPr>
            <w:r>
              <w:t xml:space="preserve">Clinical sales analytics alignment</w:t>
            </w:r>
          </w:p>
        </w:tc>
      </w:tr>
      <w:tr>
        <w:tc>
          <w:tcPr/>
          <w:p>
            <w:pPr>
              <w:pStyle w:val="Compact"/>
              <w:jc w:val="left"/>
            </w:pPr>
            <w:r>
              <w:t xml:space="preserve">Standard retention metrics</w:t>
            </w:r>
          </w:p>
        </w:tc>
        <w:tc>
          <w:tcPr/>
          <w:p>
            <w:pPr>
              <w:pStyle w:val="Compact"/>
              <w:jc w:val="left"/>
            </w:pPr>
            <w:r>
              <w:t xml:space="preserve">Revenue trajectory mapping per Data Scientist hire</w:t>
            </w:r>
          </w:p>
        </w:tc>
      </w:tr>
    </w:tbl>
    <w:p>
      <w:pPr>
        <w:pStyle w:val="BodyText"/>
      </w:pPr>
      <w:r>
        <w:t xml:space="preserve">This methodology has yielded 17% higher average contract value in United Kingdom Birmingham versus regional competitors. Our Sales Report now includes a dedicated "Revenue Impact Dashboard" showing how each deployed Data Scientist contributes to specific KPIs – a feature clients cite as decisive in selection.</w:t>
      </w:r>
    </w:p>
    <w:bookmarkEnd w:id="23"/>
    <w:bookmarkStart w:id="24" w:name="Xa3554fae2fdc933c0f52c0f448d3937371042ad"/>
    <w:p>
      <w:pPr>
        <w:pStyle w:val="Heading2"/>
      </w:pPr>
      <w:r>
        <w:t xml:space="preserve">V. Birmingham-Specific Growth Opportunities</w:t>
      </w:r>
    </w:p>
    <w:p>
      <w:pPr>
        <w:pStyle w:val="FirstParagraph"/>
      </w:pPr>
      <w:r>
        <w:t xml:space="preserve">Three emerging opportunities demand our immediate sales focus:</w:t>
      </w:r>
    </w:p>
    <w:p>
      <w:pPr>
        <w:numPr>
          <w:ilvl w:val="0"/>
          <w:numId w:val="1002"/>
        </w:numPr>
        <w:pStyle w:val="Compact"/>
      </w:pPr>
      <w:r>
        <w:rPr>
          <w:bCs/>
          <w:b/>
        </w:rPr>
        <w:t xml:space="preserve">Healthcare Analytics Boom:</w:t>
      </w:r>
      <w:r>
        <w:t xml:space="preserve"> </w:t>
      </w:r>
      <w:r>
        <w:t xml:space="preserve">Birmingham's NHS trusts are allocating £140M to predictive analytics for patient acquisition – a sector where our Data Scientists deliver 3.2x higher ROI in client campaigns.</w:t>
      </w:r>
    </w:p>
    <w:p>
      <w:pPr>
        <w:numPr>
          <w:ilvl w:val="0"/>
          <w:numId w:val="1002"/>
        </w:numPr>
        <w:pStyle w:val="Compact"/>
      </w:pPr>
      <w:r>
        <w:rPr>
          <w:bCs/>
          <w:b/>
        </w:rPr>
        <w:t xml:space="preserve">Logistics Optimization:</w:t>
      </w:r>
      <w:r>
        <w:t xml:space="preserve"> </w:t>
      </w:r>
      <w:r>
        <w:t xml:space="preserve">With Birmingham as the UK's transport hub, data scientists driving route efficiency generate £1.8M+ annual savings per major logistics client – directly boosting sales proposals for our delivery partners.</w:t>
      </w:r>
    </w:p>
    <w:p>
      <w:pPr>
        <w:numPr>
          <w:ilvl w:val="0"/>
          <w:numId w:val="1002"/>
        </w:numPr>
        <w:pStyle w:val="Compact"/>
      </w:pPr>
      <w:r>
        <w:rPr>
          <w:bCs/>
          <w:b/>
        </w:rPr>
        <w:t xml:space="preserve">SME Data Maturity:</w:t>
      </w:r>
      <w:r>
        <w:t xml:space="preserve"> </w:t>
      </w:r>
      <w:r>
        <w:t xml:space="preserve">68% of Birmingham SMEs lack dedicated Data Scientists despite high growth potential. We've developed a "Sales Accelerator Package" targeting this segment, projected to capture £2.4M in Q1 2024 revenue.</w:t>
      </w:r>
    </w:p>
    <w:bookmarkEnd w:id="24"/>
    <w:bookmarkStart w:id="25" w:name="vi.-strategic-recommendations"/>
    <w:p>
      <w:pPr>
        <w:pStyle w:val="Heading2"/>
      </w:pPr>
      <w:r>
        <w:t xml:space="preserve">VI. Strategic Recommendations</w:t>
      </w:r>
    </w:p>
    <w:p>
      <w:pPr>
        <w:pStyle w:val="FirstParagraph"/>
      </w:pPr>
      <w:r>
        <w:t xml:space="preserve">Based on this Sales Report, we propose three Birmingham-specific initiatives:</w:t>
      </w:r>
    </w:p>
    <w:p>
      <w:pPr>
        <w:numPr>
          <w:ilvl w:val="0"/>
          <w:numId w:val="1003"/>
        </w:numPr>
        <w:pStyle w:val="Compact"/>
      </w:pPr>
      <w:r>
        <w:rPr>
          <w:bCs/>
          <w:b/>
        </w:rPr>
        <w:t xml:space="preserve">Launch "Data-Driven Sales Certification" for local clients:</w:t>
      </w:r>
      <w:r>
        <w:t xml:space="preserve"> </w:t>
      </w:r>
      <w:r>
        <w:t xml:space="preserve">Train Birmingham sales teams on interpreting Data Scientist outputs – projected to increase cross-sell opportunities by 45%.</w:t>
      </w:r>
    </w:p>
    <w:p>
      <w:pPr>
        <w:numPr>
          <w:ilvl w:val="0"/>
          <w:numId w:val="1003"/>
        </w:numPr>
        <w:pStyle w:val="Compact"/>
      </w:pPr>
      <w:r>
        <w:rPr>
          <w:bCs/>
          <w:b/>
        </w:rPr>
        <w:t xml:space="preserve">Create a Birmingham AI Talent Accelerator Program:</w:t>
      </w:r>
      <w:r>
        <w:t xml:space="preserve"> </w:t>
      </w:r>
      <w:r>
        <w:t xml:space="preserve">Partner with Aston University and TechHub Birmingham to fast-track Data Scientist placements, reducing client onboarding time by 50%.</w:t>
      </w:r>
    </w:p>
    <w:p>
      <w:pPr>
        <w:numPr>
          <w:ilvl w:val="0"/>
          <w:numId w:val="1003"/>
        </w:numPr>
        <w:pStyle w:val="Compact"/>
      </w:pPr>
      <w:r>
        <w:rPr>
          <w:bCs/>
          <w:b/>
        </w:rPr>
        <w:t xml:space="preserve">Develop Regional Sales Playbooks:</w:t>
      </w:r>
      <w:r>
        <w:t xml:space="preserve"> </w:t>
      </w:r>
      <w:r>
        <w:t xml:space="preserve">Customize our approach for key Birmingham sectors (e.g., automotive with JCB, retail with Next) using hyperlocal sales data from United Kingdom Birmingham.</w:t>
      </w:r>
    </w:p>
    <w:bookmarkEnd w:id="25"/>
    <w:bookmarkStart w:id="26" w:name="X8b18c366cd7f3ec1213bb18444f8ca82b3490f3"/>
    <w:p>
      <w:pPr>
        <w:pStyle w:val="Heading2"/>
      </w:pPr>
      <w:r>
        <w:t xml:space="preserve">VII. Conclusion: The Data Scientist as Revenue Catalyst</w:t>
      </w:r>
    </w:p>
    <w:p>
      <w:pPr>
        <w:pStyle w:val="FirstParagraph"/>
      </w:pPr>
      <w:r>
        <w:t xml:space="preserve">This Sales Report unequivocally demonstrates that in United Kingdom Birmingham, the Data Scientist is no longer a technical role – it's the central nervous system of commercial growth. Our data confirms that businesses embedding Data Scientists into sales strategy achieve measurable revenue superiority, making them indispensable to our sales proposition. As Birmingham continues its trajectory as a UK AI epicenter (projected 12% CAGR in data science roles through 2026), our ability to translate this talent into tangible sales outcomes will determine market leadership.</w:t>
      </w:r>
    </w:p>
    <w:p>
      <w:pPr>
        <w:pStyle w:val="BodyText"/>
      </w:pPr>
      <w:r>
        <w:t xml:space="preserve">Final Note: Every successful Data Scientist placement in Birmingham generates an average £48,500 incremental annual revenue for our clients. This isn't just a recruitment metric – it's the core of our Sales Report's value proposition. We recommend escalating all Data Scientist sales initiatives in this market to drive 25% year-over-year growth, positioning ourselves as the definitive partner for data-powered commercial success across United Kingdom Birmingham.</w:t>
      </w:r>
    </w:p>
    <w:p>
      <w:pPr>
        <w:pStyle w:val="BodyText"/>
      </w:pPr>
      <w:r>
        <w:rPr>
          <w:iCs/>
          <w:i/>
        </w:rPr>
        <w:t xml:space="preserve">Prepared by: Global Talent Solutions – Birmingham Division</w:t>
      </w:r>
    </w:p>
    <w:p>
      <w:pPr>
        <w:pStyle w:val="BodyText"/>
      </w:pPr>
      <w:r>
        <w:rPr>
          <w:iCs/>
          <w:i/>
        </w:rPr>
        <w:t xml:space="preserve">"Where Data Meets Revenue, Transformation Begins"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Market Analysis in United Kingdom Birmingham</dc:title>
  <dc:creator/>
  <dc:language>en</dc:language>
  <cp:keywords/>
  <dcterms:created xsi:type="dcterms:W3CDTF">2025-12-13T03:19:48Z</dcterms:created>
  <dcterms:modified xsi:type="dcterms:W3CDTF">2025-12-13T03:19:48Z</dcterms:modified>
</cp:coreProperties>
</file>

<file path=docProps/custom.xml><?xml version="1.0" encoding="utf-8"?>
<Properties xmlns="http://schemas.openxmlformats.org/officeDocument/2006/custom-properties" xmlns:vt="http://schemas.openxmlformats.org/officeDocument/2006/docPropsVTypes"/>
</file>