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Dental</w:t>
      </w:r>
      <w:r>
        <w:t xml:space="preserve"> </w:t>
      </w:r>
      <w:r>
        <w:t xml:space="preserve">Practice</w:t>
      </w:r>
      <w:r>
        <w:t xml:space="preserve"> </w:t>
      </w:r>
      <w:r>
        <w:t xml:space="preserve">Performance</w:t>
      </w:r>
      <w:r>
        <w:t xml:space="preserve"> </w:t>
      </w:r>
      <w:r>
        <w:t xml:space="preserve">in</w:t>
      </w:r>
      <w:r>
        <w:t xml:space="preserve"> </w:t>
      </w:r>
      <w:r>
        <w:t xml:space="preserve">Buenos</w:t>
      </w:r>
      <w:r>
        <w:t xml:space="preserve"> </w:t>
      </w:r>
      <w:r>
        <w:t xml:space="preserve">Aires</w:t>
      </w:r>
    </w:p>
    <w:bookmarkStart w:id="28" w:name="Xa45c63af05bdf4b22e7e9862742d932540826a4"/>
    <w:p>
      <w:pPr>
        <w:pStyle w:val="Heading1"/>
      </w:pPr>
      <w:r>
        <w:t xml:space="preserve">Q3 2024 Sales Performance Report for Dental Practice in Buenos Aires, Argentina</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Dental Aura Buenos Aires Management &amp; Investors</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report details the sales performance of Dental Aura Buenos Aires (DABA), a leading private dental practice operating in the upscale neighborhoods of Palermo and Recoleta, Argentina. Q3 2024 demonstrated robust growth, with a 18.7% increase in total revenue compared to Q2 2024 and a 15.3% year-over-year (YoY) expansion from Q3 2023. This performance aligns with the strong demand for premium dental services across Buenos Aires' affluent urban centers, particularly driven by cosmetic dentistry, preventive care, and digital orthodontics. The success is attributed to strategic marketing targeting Buenos Aires’ middle-to-upper-income demographics and optimized operational efficiency within the local healthcare landscape.</w:t>
      </w:r>
    </w:p>
    <w:bookmarkEnd w:id="20"/>
    <w:bookmarkStart w:id="21" w:name="X863fc6d9e45bf32293ccedc90dd53b785a354f5"/>
    <w:p>
      <w:pPr>
        <w:pStyle w:val="Heading2"/>
      </w:pPr>
      <w:r>
        <w:t xml:space="preserve">Market Context: Dentist Services in Argentina's Buenos Aires</w:t>
      </w:r>
    </w:p>
    <w:p>
      <w:pPr>
        <w:pStyle w:val="FirstParagraph"/>
      </w:pPr>
      <w:r>
        <w:t xml:space="preserve">Buenos Aires remains Argentina’s dental services epicenter, housing 35% of the country’s private dentists and representing a market valued at over USD $1.8 billion annually. The city’s residents increasingly prioritize aesthetic and preventative care, reflecting a growing awareness of oral health as part of overall wellness—a trend accelerated by rising disposable incomes in districts like Belgrano, Puerto Madero, and Nueva Pompeya. Notably, 62% of our Q3 patients were repeat clients (compared to 55% YoY), underscoring the strong patient loyalty cultivated through personalized service and culturally sensitive care practices unique to Buenos Aires’ diverse population.</w:t>
      </w:r>
    </w:p>
    <w:p>
      <w:pPr>
        <w:pStyle w:val="BodyText"/>
      </w:pPr>
      <w:r>
        <w:rPr>
          <w:bCs/>
          <w:b/>
        </w:rPr>
        <w:t xml:space="preserve">Key Local Insight:</w:t>
      </w:r>
      <w:r>
        <w:t xml:space="preserve"> </w:t>
      </w:r>
      <w:r>
        <w:t xml:space="preserve">The Argentine Dental Association reports a 24% surge in cosmetic dentistry inquiries across Buenos Aires since 2023, directly correlating with our practice's success in marketing smile makeovers and veneer procedures. This trend is driven by the city’s vibrant social culture where first impressions matter significantly.</w:t>
      </w:r>
    </w:p>
    <w:bookmarkEnd w:id="21"/>
    <w:bookmarkStart w:id="24" w:name="sales-performance-breakdown"/>
    <w:p>
      <w:pPr>
        <w:pStyle w:val="Heading2"/>
      </w:pPr>
      <w:r>
        <w:t xml:space="preserve">Sales Performance Breakdown</w:t>
      </w:r>
    </w:p>
    <w:p>
      <w:pPr>
        <w:pStyle w:val="FirstParagraph"/>
      </w:pPr>
      <w:r>
        <w:t xml:space="preserve">DABA’s revenue streams were diversified across core dental services, reflecting the specific needs of Buenos Aires residents:</w:t>
      </w:r>
    </w:p>
    <w:p>
      <w:pPr>
        <w:pStyle w:val="BodyText"/>
      </w:pPr>
      <w:r>
        <w:t xml:space="preserve">Service Category</w:t>
      </w:r>
    </w:p>
    <w:p>
      <w:pPr>
        <w:pStyle w:val="BodyText"/>
      </w:pPr>
      <w:r>
        <w:t xml:space="preserve">Q3 2024 (ARS)</w:t>
      </w:r>
    </w:p>
    <w:p>
      <w:pPr>
        <w:pStyle w:val="BodyText"/>
      </w:pPr>
      <w:r>
        <w:t xml:space="preserve">% of Total Revenue</w:t>
      </w:r>
    </w:p>
    <w:p>
      <w:pPr>
        <w:pStyle w:val="BodyText"/>
      </w:pPr>
      <w:r>
        <w:t xml:space="preserve">MoM Change</w:t>
      </w:r>
    </w:p>
    <w:p>
      <w:pPr>
        <w:pStyle w:val="BodyText"/>
      </w:pPr>
      <w:r>
        <w:t xml:space="preserve">Cosmetic Dentistry (Veneers, Whitening, Invisalign)</w:t>
      </w:r>
    </w:p>
    <w:p>
      <w:pPr>
        <w:pStyle w:val="BodyText"/>
      </w:pPr>
      <w:r>
        <w:t xml:space="preserve">$895,000</w:t>
      </w:r>
    </w:p>
    <w:p>
      <w:pPr>
        <w:pStyle w:val="BodyText"/>
      </w:pPr>
      <w:r>
        <w:t xml:space="preserve">42.1%</w:t>
      </w:r>
    </w:p>
    <w:p>
      <w:pPr>
        <w:pStyle w:val="BodyText"/>
      </w:pPr>
      <w:r>
        <w:t xml:space="preserve">+23.5%</w:t>
      </w:r>
    </w:p>
    <w:p>
      <w:pPr>
        <w:pStyle w:val="BodyText"/>
      </w:pPr>
      <w:r>
        <w:t xml:space="preserve">General Preventive Care (Check-ups, Cleanings)</w:t>
      </w:r>
    </w:p>
    <w:p>
      <w:pPr>
        <w:pStyle w:val="BodyText"/>
      </w:pPr>
      <w:r>
        <w:t xml:space="preserve">$672,000</w:t>
      </w:r>
    </w:p>
    <w:p>
      <w:pPr>
        <w:pStyle w:val="BodyText"/>
      </w:pPr>
      <w:r>
        <w:t xml:space="preserve">&lt;</w:t>
      </w:r>
    </w:p>
    <w:p>
      <w:pPr>
        <w:pStyle w:val="BodyText"/>
      </w:pPr>
      <w:r>
        <w:t xml:space="preserve">31.8%</w:t>
      </w:r>
    </w:p>
    <w:p>
      <w:pPr>
        <w:pStyle w:val="BodyText"/>
      </w:pPr>
      <w:r>
        <w:t xml:space="preserve">+9.2%</w:t>
      </w:r>
    </w:p>
    <w:p>
      <w:pPr>
        <w:pStyle w:val="BodyText"/>
      </w:pPr>
      <w:r>
        <w:t xml:space="preserve">Restorative Procedures (Fillings, Crowns)</w:t>
      </w:r>
    </w:p>
    <w:p>
      <w:pPr>
        <w:pStyle w:val="BodyText"/>
      </w:pPr>
      <w:r>
        <w:t xml:space="preserve">$315,000</w:t>
      </w:r>
    </w:p>
    <w:p>
      <w:pPr>
        <w:pStyle w:val="BodyText"/>
      </w:pPr>
      <w:r>
        <w:t xml:space="preserve">14.9%</w:t>
      </w:r>
    </w:p>
    <w:p>
      <w:pPr>
        <w:pStyle w:val="BodyText"/>
      </w:pPr>
      <w:r>
        <w:t xml:space="preserve">+7.8%</w:t>
      </w:r>
    </w:p>
    <w:p>
      <w:pPr>
        <w:pStyle w:val="BodyText"/>
      </w:pPr>
      <w:r>
        <w:t xml:space="preserve">Surgical &amp; Implant Services</w:t>
      </w:r>
    </w:p>
    <w:p>
      <w:pPr>
        <w:pStyle w:val="BodyText"/>
      </w:pPr>
      <w:r>
        <w:t xml:space="preserve">$258,000</w:t>
      </w:r>
    </w:p>
    <w:p>
      <w:pPr>
        <w:pStyle w:val="BodyText"/>
      </w:pPr>
      <w:r>
        <w:t xml:space="preserve">12.2%</w:t>
      </w:r>
    </w:p>
    <w:p>
      <w:pPr>
        <w:pStyle w:val="BodyText"/>
      </w:pPr>
      <w:r>
        <w:t xml:space="preserve">+14.3%</w:t>
      </w:r>
    </w:p>
    <w:p>
      <w:pPr>
        <w:pStyle w:val="BodyText"/>
      </w:pPr>
      <w:r>
        <w:rPr>
          <w:bCs/>
          <w:b/>
        </w:rPr>
        <w:t xml:space="preserve">Total Revenue</w:t>
      </w:r>
    </w:p>
    <w:p>
      <w:pPr>
        <w:pStyle w:val="BodyText"/>
      </w:pPr>
      <w:r>
        <w:rPr>
          <w:bCs/>
          <w:b/>
        </w:rPr>
        <w:t xml:space="preserve">$2,140,000</w:t>
      </w:r>
    </w:p>
    <w:p>
      <w:pPr>
        <w:pStyle w:val="BodyText"/>
      </w:pPr>
      <w:r>
        <w:rPr>
          <w:bCs/>
          <w:b/>
        </w:rPr>
        <w:t xml:space="preserve">100%</w:t>
      </w:r>
    </w:p>
    <w:p>
      <w:pPr>
        <w:pStyle w:val="BodyText"/>
      </w:pPr>
      <w:r>
        <w:rPr>
          <w:bCs/>
          <w:b/>
        </w:rPr>
        <w:t xml:space="preserve">+18.7%</w:t>
      </w:r>
    </w:p>
    <w:bookmarkStart w:id="22" w:name="cosmetic-dentistry-surge-in-buenos-aires"/>
    <w:p>
      <w:pPr>
        <w:pStyle w:val="Heading3"/>
      </w:pPr>
      <w:r>
        <w:t xml:space="preserve">Cosmetic Dentistry Surge in Buenos Aires</w:t>
      </w:r>
    </w:p>
    <w:p>
      <w:pPr>
        <w:pStyle w:val="FirstParagraph"/>
      </w:pPr>
      <w:r>
        <w:t xml:space="preserve">Cosmetic services dominated sales, fueled by Buenos Aires’ cultural emphasis on personal presentation and a strategic partnership with local influencers from the city’s fashion and social media scenes. The "Buenos Aires Smile Revival" campaign—featuring testimonials from residents of Recoleta and Palermo—contributed to a 41% increase in new cosmetic consultations versus Q2 2024. Notably, Invisalign® treatments grew by 33%, particularly among professionals aged 28-45 seeking discreet solutions for the city’s competitive business environment.</w:t>
      </w:r>
    </w:p>
    <w:bookmarkEnd w:id="22"/>
    <w:bookmarkStart w:id="23" w:name="X50f97b0c821e5222ae1c1bbb15c05c21e88dcc9"/>
    <w:p>
      <w:pPr>
        <w:pStyle w:val="Heading3"/>
      </w:pPr>
      <w:r>
        <w:t xml:space="preserve">Preventive Care: Building Long-Term Patient Loyalty</w:t>
      </w:r>
    </w:p>
    <w:p>
      <w:pPr>
        <w:pStyle w:val="FirstParagraph"/>
      </w:pPr>
      <w:r>
        <w:t xml:space="preserve">The consistent growth in preventive care (14% above Q2) reflects DABA’s success in implementing a patient retention program tailored to Argentine family dynamics. By offering bilingual consultations (Spanish/English), flexible scheduling for working professionals, and free follow-up check-ups, we increased annual appointment adherence by 27%. This segment also saw significant growth from PAMI (Argentine public health plan) beneficiaries referred through our community outreach initiatives in neighborhoods like Villa Crespo.</w:t>
      </w:r>
    </w:p>
    <w:bookmarkEnd w:id="23"/>
    <w:bookmarkEnd w:id="24"/>
    <w:bookmarkStart w:id="25" w:name="operational-highlights-local-adaptation"/>
    <w:p>
      <w:pPr>
        <w:pStyle w:val="Heading2"/>
      </w:pPr>
      <w:r>
        <w:t xml:space="preserve">Operational Highlights &amp; Local Adaptation</w:t>
      </w:r>
    </w:p>
    <w:p>
      <w:pPr>
        <w:pStyle w:val="FirstParagraph"/>
      </w:pPr>
      <w:r>
        <w:t xml:space="preserve">DABA’s operations were optimized to serve Buenos Aires’ unique market. Key adaptations included:</w:t>
      </w:r>
    </w:p>
    <w:p>
      <w:pPr>
        <w:numPr>
          <w:ilvl w:val="0"/>
          <w:numId w:val="1001"/>
        </w:numPr>
        <w:pStyle w:val="Compact"/>
      </w:pPr>
      <w:r>
        <w:rPr>
          <w:bCs/>
          <w:b/>
        </w:rPr>
        <w:t xml:space="preserve">Payment Flexibility:</w:t>
      </w:r>
      <w:r>
        <w:t xml:space="preserve"> </w:t>
      </w:r>
      <w:r>
        <w:t xml:space="preserve">85% of patients utilized installment plans (common in Argentina), with partnerships with local fintechs like "Mercado Pago" reducing payment barriers.</w:t>
      </w:r>
    </w:p>
    <w:p>
      <w:pPr>
        <w:numPr>
          <w:ilvl w:val="0"/>
          <w:numId w:val="1001"/>
        </w:numPr>
        <w:pStyle w:val="Compact"/>
      </w:pPr>
      <w:r>
        <w:rPr>
          <w:bCs/>
          <w:b/>
        </w:rPr>
        <w:t xml:space="preserve">Cultural Sensitivity:</w:t>
      </w:r>
      <w:r>
        <w:t xml:space="preserve"> </w:t>
      </w:r>
      <w:r>
        <w:t xml:space="preserve">Staff trained in Argentine social customs (e.g., longer consultation times, emphasis on building trust through personal connection) directly contributed to a 38% decrease in patient no-show rates.</w:t>
      </w:r>
    </w:p>
    <w:p>
      <w:pPr>
        <w:numPr>
          <w:ilvl w:val="0"/>
          <w:numId w:val="1001"/>
        </w:numPr>
        <w:pStyle w:val="Compact"/>
      </w:pPr>
      <w:r>
        <w:rPr>
          <w:bCs/>
          <w:b/>
        </w:rPr>
        <w:t xml:space="preserve">Technology Integration:</w:t>
      </w:r>
      <w:r>
        <w:t xml:space="preserve"> </w:t>
      </w:r>
      <w:r>
        <w:t xml:space="preserve">Adoption of AI-driven appointment systems synchronized with Buenos Aires' peak traffic hours (e.g., avoiding scheduling 10 AM slots during "hora pico" rush), increasing clinic efficiency by 22%.</w:t>
      </w:r>
    </w:p>
    <w:bookmarkEnd w:id="25"/>
    <w:bookmarkStart w:id="26" w:name="challenges-strategic-recommendations"/>
    <w:p>
      <w:pPr>
        <w:pStyle w:val="Heading2"/>
      </w:pPr>
      <w:r>
        <w:t xml:space="preserve">Challenges &amp; Strategic Recommendations</w:t>
      </w:r>
    </w:p>
    <w:p>
      <w:pPr>
        <w:pStyle w:val="FirstParagraph"/>
      </w:pPr>
      <w:r>
        <w:t xml:space="preserve">Despite strong results, challenges emerged in Q3. The cost of imported dental materials (up 14% YoY due to Argentina’s currency volatility) impacted margins on restorative procedures. Additionally, increased competition from new dental chains targeting Buenos Aires' emerging suburbs required agile response.</w:t>
      </w:r>
    </w:p>
    <w:p>
      <w:pPr>
        <w:pStyle w:val="BodyText"/>
      </w:pPr>
      <w:r>
        <w:rPr>
          <w:bCs/>
          <w:b/>
        </w:rPr>
        <w:t xml:space="preserve">Strategic Recommendations for Q4 2024:</w:t>
      </w:r>
    </w:p>
    <w:p>
      <w:pPr>
        <w:numPr>
          <w:ilvl w:val="0"/>
          <w:numId w:val="1002"/>
        </w:numPr>
        <w:pStyle w:val="Compact"/>
      </w:pPr>
      <w:r>
        <w:t xml:space="preserve">Launch a "Buenos Aires Community Dental Day" offering subsidized cleanings in underserved areas (e.g., Mataderos), enhancing social reputation while expanding patient base.</w:t>
      </w:r>
    </w:p>
    <w:p>
      <w:pPr>
        <w:numPr>
          <w:ilvl w:val="0"/>
          <w:numId w:val="1002"/>
        </w:numPr>
        <w:pStyle w:val="Compact"/>
      </w:pPr>
      <w:r>
        <w:t xml:space="preserve">Negotiate bulk purchasing contracts with local suppliers to mitigate import costs for materials used in restorative dentistry.</w:t>
      </w:r>
    </w:p>
    <w:p>
      <w:pPr>
        <w:numPr>
          <w:ilvl w:val="0"/>
          <w:numId w:val="1002"/>
        </w:numPr>
        <w:pStyle w:val="Compact"/>
      </w:pPr>
      <w:r>
        <w:t xml:space="preserve">Expand digital marketing focus to Gen-Z audiences via TikTok/Instagram, leveraging Buenos Aires’ youth culture (e.g., "Dental Care for Your Next Club Night" campaign).</w:t>
      </w:r>
    </w:p>
    <w:bookmarkEnd w:id="26"/>
    <w:bookmarkStart w:id="27" w:name="conclusion"/>
    <w:p>
      <w:pPr>
        <w:pStyle w:val="Heading2"/>
      </w:pPr>
      <w:r>
        <w:t xml:space="preserve">Conclusion</w:t>
      </w:r>
    </w:p>
    <w:p>
      <w:pPr>
        <w:pStyle w:val="FirstParagraph"/>
      </w:pPr>
      <w:r>
        <w:t xml:space="preserve">Dental Aura Buenos Aires has solidified its position as a market leader in Argentina’s competitive dental sector through data-driven sales strategies that resonate deeply with the city’s cultural and economic fabric. The 18.7% revenue growth in Q3 underscores the viability of premium, patient-centric dental services within Buenos Aires' thriving urban landscape. As Argentina’s economy stabilizes and private healthcare demand continues to rise, DABA is positioned to capture significant market share by doubling down on its strengths: cultural adaptation, technology integration, and a relentless focus on the unique needs of our Buenos Aires patients.</w:t>
      </w:r>
    </w:p>
    <w:p>
      <w:pPr>
        <w:pStyle w:val="BodyText"/>
      </w:pPr>
      <w:r>
        <w:rPr>
          <w:bCs/>
          <w:b/>
        </w:rPr>
        <w:t xml:space="preserve">Key Takeaway for Investors:</w:t>
      </w:r>
      <w:r>
        <w:t xml:space="preserve"> </w:t>
      </w:r>
      <w:r>
        <w:t xml:space="preserve">The Argentine dental market in Buenos Aires is not just recovering—it’s innovating. DABA’s Q3 performance exemplifies how a dentist practice can leverage local insights to achieve sustainable, high-margin growth where others struggle.</w:t>
      </w:r>
    </w:p>
    <w:p>
      <w:pPr>
        <w:pStyle w:val="BodyText"/>
      </w:pPr>
      <w:r>
        <w:t xml:space="preserve">Dental Aura Buenos Aires | Sales &amp; Operations Report | Q3 2024 | Confidential</w:t>
      </w:r>
    </w:p>
    <w:p>
      <w:pPr>
        <w:pStyle w:val="BodyText"/>
      </w:pPr>
      <w:r>
        <w:t xml:space="preserve">Generated in compliance with Argentine Dental Association (CDA) standards and local commercial regulations.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Dental Practice Performance in Buenos Aires</dc:title>
  <dc:creator/>
  <dc:language>en</dc:language>
  <cp:keywords/>
  <dcterms:created xsi:type="dcterms:W3CDTF">2026-07-21T06:08:18Z</dcterms:created>
  <dcterms:modified xsi:type="dcterms:W3CDTF">2026-07-21T06:08:18Z</dcterms:modified>
</cp:coreProperties>
</file>

<file path=docProps/custom.xml><?xml version="1.0" encoding="utf-8"?>
<Properties xmlns="http://schemas.openxmlformats.org/officeDocument/2006/custom-properties" xmlns:vt="http://schemas.openxmlformats.org/officeDocument/2006/docPropsVTypes"/>
</file>